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02514">
      <w:pPr>
        <w:keepNext w:val="0"/>
        <w:keepLines w:val="0"/>
        <w:pageBreakBefore w:val="0"/>
        <w:tabs>
          <w:tab w:val="left" w:pos="8236"/>
        </w:tabs>
        <w:kinsoku/>
        <w:wordWrap/>
        <w:overflowPunct/>
        <w:topLinePunct w:val="0"/>
        <w:autoSpaceDE w:val="0"/>
        <w:autoSpaceDN w:val="0"/>
        <w:bidi w:val="0"/>
        <w:adjustRightInd w:val="0"/>
        <w:snapToGrid/>
        <w:spacing w:line="340" w:lineRule="exact"/>
        <w:textAlignment w:val="auto"/>
        <w:rPr>
          <w:rFonts w:hint="eastAsia" w:ascii="楷体" w:hAnsi="楷体" w:eastAsia="楷体" w:cs="楷体"/>
          <w:kern w:val="0"/>
          <w:sz w:val="30"/>
          <w:szCs w:val="30"/>
          <w:lang w:val="zh-CN"/>
        </w:rPr>
      </w:pPr>
      <w:bookmarkStart w:id="0" w:name="OLE_LINK1"/>
      <w:r>
        <w:rPr>
          <w:rFonts w:hint="eastAsia" w:ascii="楷体" w:hAnsi="楷体" w:eastAsia="楷体" w:cs="楷体"/>
          <w:kern w:val="0"/>
          <w:sz w:val="30"/>
          <w:szCs w:val="30"/>
          <w:lang w:val="zh-CN"/>
        </w:rPr>
        <w:t>202</w:t>
      </w:r>
      <w:r>
        <w:rPr>
          <w:rFonts w:hint="eastAsia" w:ascii="楷体" w:hAnsi="楷体" w:eastAsia="楷体" w:cs="楷体"/>
          <w:kern w:val="0"/>
          <w:sz w:val="30"/>
          <w:szCs w:val="30"/>
          <w:lang w:val="en-US" w:eastAsia="zh-CN"/>
        </w:rPr>
        <w:t>6</w:t>
      </w:r>
      <w:r>
        <w:rPr>
          <w:rFonts w:hint="eastAsia" w:ascii="楷体" w:hAnsi="楷体" w:eastAsia="楷体" w:cs="楷体"/>
          <w:kern w:val="0"/>
          <w:sz w:val="30"/>
          <w:szCs w:val="30"/>
        </w:rPr>
        <w:t>第十</w:t>
      </w:r>
      <w:r>
        <w:rPr>
          <w:rFonts w:hint="eastAsia" w:ascii="楷体" w:hAnsi="楷体" w:eastAsia="楷体" w:cs="楷体"/>
          <w:kern w:val="0"/>
          <w:sz w:val="30"/>
          <w:szCs w:val="30"/>
          <w:lang w:val="en-US" w:eastAsia="zh-CN"/>
        </w:rPr>
        <w:t>五</w:t>
      </w:r>
      <w:r>
        <w:rPr>
          <w:rFonts w:hint="eastAsia" w:ascii="楷体" w:hAnsi="楷体" w:eastAsia="楷体" w:cs="楷体"/>
          <w:kern w:val="0"/>
          <w:sz w:val="30"/>
          <w:szCs w:val="30"/>
        </w:rPr>
        <w:t>届</w:t>
      </w:r>
      <w:r>
        <w:rPr>
          <w:rFonts w:hint="eastAsia" w:ascii="楷体" w:hAnsi="楷体" w:eastAsia="楷体" w:cs="楷体"/>
          <w:kern w:val="0"/>
          <w:sz w:val="30"/>
          <w:szCs w:val="30"/>
          <w:lang w:val="zh-CN"/>
        </w:rPr>
        <w:t>北京</w:t>
      </w:r>
      <w:r>
        <w:rPr>
          <w:rFonts w:hint="eastAsia" w:ascii="楷体" w:hAnsi="楷体" w:eastAsia="楷体" w:cs="楷体"/>
          <w:kern w:val="0"/>
          <w:sz w:val="30"/>
          <w:szCs w:val="30"/>
          <w:lang w:val="en-US" w:eastAsia="zh-CN"/>
        </w:rPr>
        <w:t>国际</w:t>
      </w:r>
      <w:r>
        <w:rPr>
          <w:rFonts w:hint="eastAsia" w:ascii="楷体" w:hAnsi="楷体" w:eastAsia="楷体" w:cs="楷体"/>
          <w:kern w:val="0"/>
          <w:sz w:val="30"/>
          <w:szCs w:val="30"/>
          <w:lang w:val="zh-CN"/>
        </w:rPr>
        <w:t>机器人</w:t>
      </w:r>
      <w:r>
        <w:rPr>
          <w:rFonts w:hint="eastAsia" w:ascii="楷体" w:hAnsi="楷体" w:eastAsia="楷体" w:cs="楷体"/>
          <w:kern w:val="0"/>
          <w:sz w:val="30"/>
          <w:szCs w:val="30"/>
          <w:lang w:val="en-US" w:eastAsia="zh-CN"/>
        </w:rPr>
        <w:t>展览会</w:t>
      </w:r>
      <w:r>
        <w:rPr>
          <w:rFonts w:hint="eastAsia" w:ascii="楷体" w:hAnsi="楷体" w:eastAsia="楷体" w:cs="楷体"/>
          <w:kern w:val="0"/>
          <w:szCs w:val="21"/>
          <w:lang w:val="zh-CN"/>
        </w:rPr>
        <w:t>(CRS  Expo)</w:t>
      </w:r>
    </w:p>
    <w:bookmarkEnd w:id="0"/>
    <w:p w14:paraId="103F5D65">
      <w:pPr>
        <w:keepNext w:val="0"/>
        <w:keepLines w:val="0"/>
        <w:pageBreakBefore w:val="0"/>
        <w:tabs>
          <w:tab w:val="left" w:pos="8236"/>
        </w:tabs>
        <w:kinsoku/>
        <w:wordWrap/>
        <w:overflowPunct/>
        <w:topLinePunct w:val="0"/>
        <w:autoSpaceDE w:val="0"/>
        <w:autoSpaceDN w:val="0"/>
        <w:bidi w:val="0"/>
        <w:adjustRightInd w:val="0"/>
        <w:snapToGrid/>
        <w:spacing w:line="340" w:lineRule="exact"/>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t>The 1</w:t>
      </w:r>
      <w:r>
        <w:rPr>
          <w:rFonts w:hint="eastAsia" w:ascii="楷体" w:hAnsi="楷体" w:eastAsia="楷体" w:cs="楷体"/>
          <w:kern w:val="0"/>
          <w:sz w:val="24"/>
          <w:szCs w:val="24"/>
          <w:lang w:val="en-US" w:eastAsia="zh-CN"/>
        </w:rPr>
        <w:t>5</w:t>
      </w:r>
      <w:r>
        <w:rPr>
          <w:rFonts w:hint="eastAsia" w:ascii="楷体" w:hAnsi="楷体" w:eastAsia="楷体" w:cs="楷体"/>
          <w:kern w:val="0"/>
          <w:sz w:val="24"/>
          <w:szCs w:val="24"/>
        </w:rPr>
        <w:t>th Beijing International Robot Exhibition in 202</w:t>
      </w:r>
      <w:r>
        <w:rPr>
          <w:rFonts w:hint="eastAsia" w:ascii="楷体" w:hAnsi="楷体" w:eastAsia="楷体" w:cs="楷体"/>
          <w:kern w:val="0"/>
          <w:sz w:val="24"/>
          <w:szCs w:val="24"/>
          <w:lang w:val="en-US" w:eastAsia="zh-CN"/>
        </w:rPr>
        <w:t>6</w:t>
      </w:r>
    </w:p>
    <w:p w14:paraId="36F52AA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b w:val="0"/>
          <w:bCs w:val="0"/>
          <w:sz w:val="24"/>
          <w:szCs w:val="24"/>
        </w:rPr>
      </w:pPr>
      <w:r>
        <w:rPr>
          <w:rFonts w:hint="eastAsia" w:ascii="楷体" w:hAnsi="楷体" w:eastAsia="楷体" w:cs="楷体"/>
          <w:b w:val="0"/>
          <w:bCs w:val="0"/>
          <w:sz w:val="24"/>
          <w:szCs w:val="24"/>
          <w:lang w:val="en-US" w:eastAsia="zh-CN"/>
        </w:rPr>
        <w:t>时 间</w:t>
      </w:r>
      <w:r>
        <w:rPr>
          <w:rFonts w:hint="eastAsia" w:ascii="楷体" w:hAnsi="楷体" w:eastAsia="楷体" w:cs="楷体"/>
          <w:b w:val="0"/>
          <w:bCs w:val="0"/>
          <w:sz w:val="24"/>
          <w:szCs w:val="24"/>
        </w:rPr>
        <w:t>：202</w:t>
      </w:r>
      <w:r>
        <w:rPr>
          <w:rFonts w:hint="eastAsia" w:ascii="楷体" w:hAnsi="楷体" w:eastAsia="楷体" w:cs="楷体"/>
          <w:b w:val="0"/>
          <w:bCs w:val="0"/>
          <w:sz w:val="24"/>
          <w:szCs w:val="24"/>
          <w:lang w:val="en-US" w:eastAsia="zh-CN"/>
        </w:rPr>
        <w:t>6</w:t>
      </w:r>
      <w:r>
        <w:rPr>
          <w:rFonts w:hint="eastAsia" w:ascii="楷体" w:hAnsi="楷体" w:eastAsia="楷体" w:cs="楷体"/>
          <w:b w:val="0"/>
          <w:bCs w:val="0"/>
          <w:sz w:val="24"/>
          <w:szCs w:val="24"/>
        </w:rPr>
        <w:t>年0</w:t>
      </w:r>
      <w:r>
        <w:rPr>
          <w:rFonts w:hint="eastAsia" w:ascii="楷体" w:hAnsi="楷体" w:eastAsia="楷体" w:cs="楷体"/>
          <w:b w:val="0"/>
          <w:bCs w:val="0"/>
          <w:sz w:val="24"/>
          <w:szCs w:val="24"/>
          <w:lang w:val="en-US" w:eastAsia="zh-CN"/>
        </w:rPr>
        <w:t>5</w:t>
      </w:r>
      <w:r>
        <w:rPr>
          <w:rFonts w:hint="eastAsia" w:ascii="楷体" w:hAnsi="楷体" w:eastAsia="楷体" w:cs="楷体"/>
          <w:b w:val="0"/>
          <w:bCs w:val="0"/>
          <w:sz w:val="24"/>
          <w:szCs w:val="24"/>
        </w:rPr>
        <w:t>月</w:t>
      </w:r>
      <w:r>
        <w:rPr>
          <w:rFonts w:hint="eastAsia" w:ascii="楷体" w:hAnsi="楷体" w:eastAsia="楷体" w:cs="楷体"/>
          <w:b w:val="0"/>
          <w:bCs w:val="0"/>
          <w:sz w:val="24"/>
          <w:szCs w:val="24"/>
          <w:lang w:val="en-US" w:eastAsia="zh-CN"/>
        </w:rPr>
        <w:t>14</w:t>
      </w:r>
      <w:r>
        <w:rPr>
          <w:rFonts w:hint="eastAsia" w:ascii="楷体" w:hAnsi="楷体" w:eastAsia="楷体" w:cs="楷体"/>
          <w:b w:val="0"/>
          <w:bCs w:val="0"/>
          <w:sz w:val="24"/>
          <w:szCs w:val="24"/>
        </w:rPr>
        <w:t>日-</w:t>
      </w:r>
      <w:r>
        <w:rPr>
          <w:rFonts w:hint="eastAsia" w:ascii="楷体" w:hAnsi="楷体" w:eastAsia="楷体" w:cs="楷体"/>
          <w:b w:val="0"/>
          <w:bCs w:val="0"/>
          <w:sz w:val="24"/>
          <w:szCs w:val="24"/>
          <w:lang w:val="en-US" w:eastAsia="zh-CN"/>
        </w:rPr>
        <w:t>16</w:t>
      </w:r>
      <w:r>
        <w:rPr>
          <w:rFonts w:hint="eastAsia" w:ascii="楷体" w:hAnsi="楷体" w:eastAsia="楷体" w:cs="楷体"/>
          <w:b w:val="0"/>
          <w:bCs w:val="0"/>
          <w:sz w:val="24"/>
          <w:szCs w:val="24"/>
        </w:rPr>
        <w:t xml:space="preserve">日     </w:t>
      </w:r>
    </w:p>
    <w:p w14:paraId="54962AC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b w:val="0"/>
          <w:bCs w:val="0"/>
          <w:sz w:val="24"/>
          <w:szCs w:val="24"/>
        </w:rPr>
      </w:pPr>
      <w:r>
        <w:rPr>
          <w:rFonts w:hint="eastAsia" w:ascii="楷体" w:hAnsi="楷体" w:eastAsia="楷体" w:cs="楷体"/>
          <w:b w:val="0"/>
          <w:bCs w:val="0"/>
          <w:sz w:val="24"/>
          <w:szCs w:val="24"/>
        </w:rPr>
        <w:t>Date:May 14-16, 2026</w:t>
      </w:r>
    </w:p>
    <w:p w14:paraId="5BD8014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rPr>
        <w:t>地 点：北京中国国际展览中心朝阳</w:t>
      </w:r>
      <w:r>
        <w:rPr>
          <w:rFonts w:hint="eastAsia" w:ascii="楷体" w:hAnsi="楷体" w:eastAsia="楷体" w:cs="楷体"/>
          <w:b w:val="0"/>
          <w:bCs w:val="0"/>
          <w:sz w:val="24"/>
          <w:szCs w:val="24"/>
          <w:lang w:val="en-US" w:eastAsia="zh-CN"/>
        </w:rPr>
        <w:t>馆</w:t>
      </w:r>
    </w:p>
    <w:p w14:paraId="721AE3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Venue: China International Exhibition Center(CIEC)</w:t>
      </w:r>
    </w:p>
    <w:p w14:paraId="3F67C9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楷体" w:hAnsi="楷体" w:eastAsia="楷体" w:cs="楷体"/>
          <w:b w:val="0"/>
          <w:bCs w:val="0"/>
          <w:kern w:val="2"/>
          <w:sz w:val="24"/>
          <w:szCs w:val="24"/>
          <w:lang w:val="en-US" w:eastAsia="zh-CN" w:bidi="ar-SA"/>
        </w:rPr>
      </w:pPr>
    </w:p>
    <w:p w14:paraId="659F57D0">
      <w:pPr>
        <w:keepNext w:val="0"/>
        <w:keepLines w:val="0"/>
        <w:pageBreakBefore w:val="0"/>
        <w:tabs>
          <w:tab w:val="left" w:pos="8236"/>
        </w:tabs>
        <w:kinsoku/>
        <w:wordWrap/>
        <w:overflowPunct/>
        <w:topLinePunct w:val="0"/>
        <w:autoSpaceDE w:val="0"/>
        <w:autoSpaceDN w:val="0"/>
        <w:bidi w:val="0"/>
        <w:adjustRightInd w:val="0"/>
        <w:snapToGrid/>
        <w:spacing w:line="340" w:lineRule="exact"/>
        <w:ind w:firstLine="2108" w:firstLineChars="700"/>
        <w:jc w:val="left"/>
        <w:textAlignment w:val="auto"/>
        <w:rPr>
          <w:rFonts w:hint="eastAsia" w:ascii="楷体" w:hAnsi="楷体" w:eastAsia="楷体" w:cs="楷体"/>
          <w:b/>
          <w:color w:val="E36C0A"/>
          <w:kern w:val="0"/>
          <w:sz w:val="30"/>
          <w:szCs w:val="30"/>
          <w:lang w:val="en-US" w:eastAsia="zh-CN"/>
        </w:rPr>
      </w:pPr>
      <w:r>
        <w:rPr>
          <w:rFonts w:hint="eastAsia" w:ascii="楷体" w:hAnsi="楷体" w:eastAsia="楷体" w:cs="楷体"/>
          <w:b/>
          <w:color w:val="E36C0A"/>
          <w:kern w:val="0"/>
          <w:sz w:val="30"/>
          <w:szCs w:val="30"/>
          <w:lang w:val="en-US" w:eastAsia="zh-CN"/>
        </w:rPr>
        <w:t>邀    请    函</w:t>
      </w:r>
    </w:p>
    <w:p w14:paraId="5D7F919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展会主题：</w:t>
      </w:r>
      <w:r>
        <w:rPr>
          <w:rFonts w:hint="eastAsia" w:ascii="楷体" w:hAnsi="楷体" w:eastAsia="楷体" w:cs="楷体"/>
          <w:b/>
          <w:color w:val="E36C0A"/>
          <w:kern w:val="0"/>
          <w:sz w:val="24"/>
          <w:szCs w:val="24"/>
          <w:lang w:val="en-US" w:eastAsia="zh-CN"/>
        </w:rPr>
        <w:t>智变未来   数字赋能</w:t>
      </w:r>
    </w:p>
    <w:p w14:paraId="31247901">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4"/>
          <w:szCs w:val="24"/>
          <w:lang w:val="zh-CN"/>
        </w:rPr>
      </w:pPr>
    </w:p>
    <w:p w14:paraId="5A6D268A">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b/>
          <w:color w:val="E36C0A"/>
          <w:kern w:val="0"/>
          <w:sz w:val="24"/>
          <w:szCs w:val="24"/>
          <w:lang w:val="zh-CN"/>
        </w:rPr>
        <w:t>海外</w:t>
      </w:r>
      <w:r>
        <w:rPr>
          <w:rFonts w:hint="eastAsia" w:ascii="楷体" w:hAnsi="楷体" w:eastAsia="楷体" w:cs="楷体"/>
          <w:b/>
          <w:color w:val="E36C0A"/>
          <w:kern w:val="0"/>
          <w:sz w:val="24"/>
          <w:szCs w:val="24"/>
          <w:lang w:val="en-US" w:eastAsia="zh-CN"/>
        </w:rPr>
        <w:t>特邀</w:t>
      </w:r>
      <w:r>
        <w:rPr>
          <w:rFonts w:hint="eastAsia" w:ascii="楷体" w:hAnsi="楷体" w:eastAsia="楷体" w:cs="楷体"/>
          <w:b/>
          <w:color w:val="E36C0A"/>
          <w:kern w:val="0"/>
          <w:sz w:val="24"/>
          <w:szCs w:val="24"/>
          <w:lang w:val="zh-CN"/>
        </w:rPr>
        <w:t>支持单位：</w:t>
      </w:r>
    </w:p>
    <w:p w14:paraId="6A5EE320">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18"/>
          <w:szCs w:val="18"/>
          <w:lang w:val="zh-CN"/>
        </w:rPr>
        <w:t xml:space="preserve"> </w:t>
      </w:r>
      <w:r>
        <w:rPr>
          <w:rFonts w:hint="eastAsia" w:ascii="楷体" w:hAnsi="楷体" w:eastAsia="楷体" w:cs="楷体"/>
          <w:kern w:val="0"/>
          <w:sz w:val="24"/>
          <w:szCs w:val="24"/>
          <w:lang w:val="zh-CN"/>
        </w:rPr>
        <w:t>美国机器人工业协会（RIA）          VDMA机器人与自动化协会</w:t>
      </w:r>
    </w:p>
    <w:p w14:paraId="082AE8E7">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 xml:space="preserve"> 国际机器人协会(IFR)               日本机器人协会（JARA）      </w:t>
      </w:r>
    </w:p>
    <w:p w14:paraId="56F87C7F">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Cs w:val="21"/>
          <w:lang w:val="zh-CN"/>
        </w:rPr>
      </w:pPr>
      <w:r>
        <w:rPr>
          <w:rFonts w:hint="eastAsia" w:ascii="楷体" w:hAnsi="楷体" w:eastAsia="楷体" w:cs="楷体"/>
          <w:kern w:val="0"/>
          <w:sz w:val="24"/>
          <w:szCs w:val="24"/>
          <w:lang w:val="zh-CN"/>
        </w:rPr>
        <w:t>韩国机器人协会（KAR）</w:t>
      </w:r>
    </w:p>
    <w:p w14:paraId="3B03CDFB">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b/>
          <w:color w:val="E36C0A"/>
          <w:kern w:val="0"/>
          <w:sz w:val="24"/>
          <w:szCs w:val="24"/>
          <w:lang w:val="zh-CN"/>
        </w:rPr>
        <w:t>主办单位：</w:t>
      </w:r>
      <w:r>
        <w:rPr>
          <w:rFonts w:hint="eastAsia" w:ascii="楷体" w:hAnsi="楷体" w:eastAsia="楷体" w:cs="楷体"/>
          <w:kern w:val="0"/>
          <w:sz w:val="24"/>
          <w:szCs w:val="24"/>
          <w:lang w:val="en-US" w:eastAsia="zh-CN"/>
        </w:rPr>
        <w:t>北京国际机器人展览会组委会</w:t>
      </w:r>
      <w:r>
        <w:rPr>
          <w:rFonts w:hint="eastAsia" w:ascii="楷体" w:hAnsi="楷体" w:eastAsia="楷体" w:cs="楷体"/>
          <w:kern w:val="0"/>
          <w:sz w:val="24"/>
          <w:szCs w:val="24"/>
          <w:lang w:val="zh-CN"/>
        </w:rPr>
        <w:t xml:space="preserve">       </w:t>
      </w:r>
    </w:p>
    <w:p w14:paraId="023D9DF0">
      <w:pPr>
        <w:keepNext w:val="0"/>
        <w:keepLines w:val="0"/>
        <w:pageBreakBefore w:val="0"/>
        <w:tabs>
          <w:tab w:val="left" w:pos="8236"/>
        </w:tabs>
        <w:kinsoku/>
        <w:wordWrap/>
        <w:overflowPunct/>
        <w:topLinePunct w:val="0"/>
        <w:autoSpaceDE w:val="0"/>
        <w:autoSpaceDN w:val="0"/>
        <w:bidi w:val="0"/>
        <w:adjustRightInd w:val="0"/>
        <w:snapToGrid/>
        <w:spacing w:line="340" w:lineRule="exact"/>
        <w:ind w:firstLine="1200" w:firstLineChars="5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 xml:space="preserve">中国机电产品流通协会    </w:t>
      </w:r>
    </w:p>
    <w:p w14:paraId="507B56FC">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b/>
          <w:color w:val="E36C0A"/>
          <w:kern w:val="0"/>
          <w:sz w:val="24"/>
          <w:szCs w:val="24"/>
          <w:lang w:val="zh-CN"/>
        </w:rPr>
        <w:t>组织单位：</w:t>
      </w:r>
      <w:r>
        <w:rPr>
          <w:rFonts w:hint="eastAsia" w:ascii="楷体" w:hAnsi="楷体" w:eastAsia="楷体" w:cs="楷体"/>
          <w:kern w:val="0"/>
          <w:sz w:val="24"/>
          <w:szCs w:val="24"/>
          <w:lang w:val="zh-CN"/>
        </w:rPr>
        <w:t xml:space="preserve">京禾展览（北京）有限公司   </w:t>
      </w:r>
    </w:p>
    <w:p w14:paraId="7C84EC4F">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 xml:space="preserve">           京尚国际会展有限公司</w:t>
      </w:r>
    </w:p>
    <w:p w14:paraId="0F8807EB">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bCs/>
          <w:color w:val="E46C0A" w:themeColor="accent6" w:themeShade="BF"/>
          <w:sz w:val="21"/>
          <w:szCs w:val="21"/>
          <w:lang w:val="en-US" w:eastAsia="zh-CN"/>
        </w:rPr>
      </w:pPr>
      <w:r>
        <w:rPr>
          <w:rFonts w:hint="eastAsia" w:ascii="楷体" w:hAnsi="楷体" w:eastAsia="楷体" w:cs="楷体"/>
          <w:b/>
          <w:color w:val="E36C0A"/>
          <w:kern w:val="0"/>
          <w:sz w:val="24"/>
          <w:szCs w:val="24"/>
          <w:lang w:val="zh-CN"/>
        </w:rPr>
        <w:t>官方网址：</w:t>
      </w:r>
      <w:r>
        <w:rPr>
          <w:rFonts w:hint="eastAsia" w:ascii="楷体" w:hAnsi="楷体" w:eastAsia="楷体" w:cs="楷体"/>
          <w:sz w:val="24"/>
          <w:szCs w:val="24"/>
          <w:lang w:val="zh-CN"/>
        </w:rPr>
        <w:t xml:space="preserve">www.asiarobot.net   </w:t>
      </w:r>
      <w:r>
        <w:rPr>
          <w:rFonts w:hint="eastAsia" w:ascii="楷体" w:hAnsi="楷体" w:eastAsia="楷体" w:cs="楷体"/>
          <w:szCs w:val="21"/>
          <w:lang w:val="zh-CN"/>
        </w:rPr>
        <w:t xml:space="preserve">   </w:t>
      </w:r>
    </w:p>
    <w:p w14:paraId="7688D719">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sz w:val="24"/>
          <w:szCs w:val="24"/>
          <w:lang w:val="en-US" w:eastAsia="zh-CN"/>
        </w:rPr>
      </w:pPr>
      <w:r>
        <w:rPr>
          <w:rFonts w:hint="eastAsia" w:ascii="楷体" w:hAnsi="楷体" w:eastAsia="楷体" w:cs="楷体"/>
          <w:b/>
          <w:bCs/>
          <w:color w:val="E46C0A" w:themeColor="accent6" w:themeShade="BF"/>
          <w:sz w:val="21"/>
          <w:szCs w:val="21"/>
          <w:lang w:val="en-US" w:eastAsia="zh-CN"/>
        </w:rPr>
        <w:t>同期活动：</w:t>
      </w:r>
      <w:r>
        <w:rPr>
          <w:rFonts w:hint="eastAsia" w:ascii="楷体" w:hAnsi="楷体" w:eastAsia="楷体" w:cs="楷体"/>
          <w:sz w:val="24"/>
          <w:szCs w:val="24"/>
          <w:lang w:val="en-US" w:eastAsia="zh-CN"/>
        </w:rPr>
        <w:t>2026第十九届北京国际智能装备及工业自动化展览会</w:t>
      </w:r>
    </w:p>
    <w:p w14:paraId="0859301C">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 xml:space="preserve">           世界国际机器人论坛</w:t>
      </w:r>
    </w:p>
    <w:p w14:paraId="0F749FCF">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4"/>
          <w:szCs w:val="24"/>
          <w:lang w:val="zh-CN"/>
        </w:rPr>
      </w:pPr>
    </w:p>
    <w:p w14:paraId="4B112A7D">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4"/>
          <w:szCs w:val="24"/>
          <w:lang w:val="en-US" w:eastAsia="zh-CN"/>
        </w:rPr>
      </w:pPr>
      <w:r>
        <w:rPr>
          <w:rFonts w:hint="eastAsia" w:ascii="楷体" w:hAnsi="楷体" w:eastAsia="楷体" w:cs="楷体"/>
          <w:b/>
          <w:color w:val="E36C0A"/>
          <w:kern w:val="0"/>
          <w:sz w:val="24"/>
          <w:szCs w:val="24"/>
          <w:lang w:val="zh-CN"/>
        </w:rPr>
        <w:t>前    言</w:t>
      </w:r>
      <w:r>
        <w:rPr>
          <w:rFonts w:hint="eastAsia" w:ascii="楷体" w:hAnsi="楷体" w:eastAsia="楷体" w:cs="楷体"/>
          <w:b/>
          <w:color w:val="E36C0A"/>
          <w:kern w:val="0"/>
          <w:sz w:val="24"/>
          <w:szCs w:val="24"/>
          <w:lang w:val="en-US" w:eastAsia="zh-CN"/>
        </w:rPr>
        <w:t>:</w:t>
      </w:r>
    </w:p>
    <w:p w14:paraId="5CC87615">
      <w:pPr>
        <w:keepNext w:val="0"/>
        <w:keepLines w:val="0"/>
        <w:pageBreakBefore w:val="0"/>
        <w:tabs>
          <w:tab w:val="left" w:pos="8236"/>
        </w:tabs>
        <w:kinsoku/>
        <w:wordWrap/>
        <w:overflowPunct/>
        <w:topLinePunct w:val="0"/>
        <w:autoSpaceDE w:val="0"/>
        <w:autoSpaceDN w:val="0"/>
        <w:bidi w:val="0"/>
        <w:adjustRightInd w:val="0"/>
        <w:snapToGrid/>
        <w:spacing w:line="340" w:lineRule="exact"/>
        <w:ind w:firstLine="480" w:firstLineChars="200"/>
        <w:jc w:val="left"/>
        <w:textAlignment w:val="auto"/>
        <w:rPr>
          <w:rFonts w:hint="eastAsia" w:ascii="楷体" w:hAnsi="楷体" w:eastAsia="楷体" w:cs="楷体"/>
          <w:b/>
          <w:color w:val="E36C0A"/>
          <w:kern w:val="0"/>
          <w:sz w:val="24"/>
          <w:szCs w:val="24"/>
          <w:lang w:val="en-US" w:eastAsia="zh-CN"/>
        </w:rPr>
      </w:pPr>
      <w:r>
        <w:rPr>
          <w:rFonts w:hint="eastAsia" w:ascii="楷体" w:hAnsi="楷体" w:eastAsia="楷体" w:cs="楷体"/>
          <w:sz w:val="24"/>
          <w:szCs w:val="24"/>
          <w:lang w:val="en-US" w:eastAsia="zh-CN"/>
        </w:rPr>
        <w:t>北京国际机器人展览会</w:t>
      </w:r>
      <w:r>
        <w:rPr>
          <w:rFonts w:hint="eastAsia" w:ascii="楷体" w:hAnsi="楷体" w:eastAsia="楷体" w:cs="楷体"/>
          <w:kern w:val="0"/>
          <w:sz w:val="24"/>
          <w:szCs w:val="24"/>
          <w:lang w:val="zh-CN"/>
        </w:rPr>
        <w:t>CRS  EXPO创办于2011年，是</w:t>
      </w:r>
      <w:r>
        <w:rPr>
          <w:rFonts w:hint="eastAsia" w:ascii="楷体" w:hAnsi="楷体" w:eastAsia="楷体" w:cs="楷体"/>
          <w:kern w:val="0"/>
          <w:sz w:val="24"/>
          <w:szCs w:val="24"/>
          <w:lang w:val="en-US" w:eastAsia="zh-CN"/>
        </w:rPr>
        <w:t>智能</w:t>
      </w:r>
      <w:r>
        <w:rPr>
          <w:rFonts w:hint="eastAsia" w:ascii="楷体" w:hAnsi="楷体" w:eastAsia="楷体" w:cs="楷体"/>
          <w:kern w:val="0"/>
          <w:sz w:val="24"/>
          <w:szCs w:val="24"/>
          <w:lang w:val="zh-CN"/>
        </w:rPr>
        <w:t>机器人领域的行业例会，更是</w:t>
      </w:r>
      <w:r>
        <w:rPr>
          <w:rFonts w:hint="eastAsia" w:ascii="楷体" w:hAnsi="楷体" w:eastAsia="楷体" w:cs="楷体"/>
          <w:kern w:val="0"/>
          <w:sz w:val="24"/>
          <w:szCs w:val="24"/>
          <w:lang w:val="en-US" w:eastAsia="zh-CN"/>
        </w:rPr>
        <w:t>智能</w:t>
      </w:r>
      <w:r>
        <w:rPr>
          <w:rFonts w:hint="eastAsia" w:ascii="楷体" w:hAnsi="楷体" w:eastAsia="楷体" w:cs="楷体"/>
          <w:kern w:val="0"/>
          <w:sz w:val="24"/>
          <w:szCs w:val="24"/>
          <w:lang w:val="zh-CN"/>
        </w:rPr>
        <w:t>机器人领域一年一度翘楚云集 璀璨盛会;每年在北京举办一届，已成功举办十</w:t>
      </w:r>
      <w:r>
        <w:rPr>
          <w:rFonts w:hint="eastAsia" w:ascii="楷体" w:hAnsi="楷体" w:eastAsia="楷体" w:cs="楷体"/>
          <w:kern w:val="0"/>
          <w:sz w:val="24"/>
          <w:szCs w:val="24"/>
          <w:lang w:val="en-US" w:eastAsia="zh-CN"/>
        </w:rPr>
        <w:t>四</w:t>
      </w:r>
      <w:r>
        <w:rPr>
          <w:rFonts w:hint="eastAsia" w:ascii="楷体" w:hAnsi="楷体" w:eastAsia="楷体" w:cs="楷体"/>
          <w:kern w:val="0"/>
          <w:sz w:val="24"/>
          <w:szCs w:val="24"/>
          <w:lang w:val="zh-CN"/>
        </w:rPr>
        <w:t>届，已经被国内外机器人制造商及相关服务商视为国际盛宴。</w:t>
      </w:r>
    </w:p>
    <w:p w14:paraId="221A4798">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楷体" w:hAnsi="楷体" w:eastAsia="楷体" w:cs="楷体"/>
          <w:kern w:val="0"/>
          <w:sz w:val="24"/>
          <w:szCs w:val="24"/>
          <w:lang w:val="en-US" w:eastAsia="zh-CN"/>
        </w:rPr>
      </w:pPr>
      <w:r>
        <w:rPr>
          <w:rFonts w:hint="eastAsia" w:ascii="楷体" w:hAnsi="楷体" w:eastAsia="楷体" w:cs="楷体"/>
          <w:sz w:val="24"/>
          <w:szCs w:val="24"/>
          <w:lang w:val="en-US" w:eastAsia="zh-CN"/>
        </w:rPr>
        <w:t>北京国际机器人展览会</w:t>
      </w:r>
      <w:r>
        <w:rPr>
          <w:rFonts w:hint="eastAsia" w:ascii="楷体" w:hAnsi="楷体" w:eastAsia="楷体" w:cs="楷体"/>
          <w:sz w:val="24"/>
          <w:szCs w:val="24"/>
          <w:lang w:val="zh-CN"/>
        </w:rPr>
        <w:t>是一场专注于</w:t>
      </w:r>
      <w:r>
        <w:rPr>
          <w:rFonts w:hint="eastAsia" w:ascii="楷体" w:hAnsi="楷体" w:eastAsia="楷体" w:cs="楷体"/>
          <w:sz w:val="24"/>
          <w:szCs w:val="24"/>
          <w:lang w:val="en-US" w:eastAsia="zh-CN"/>
        </w:rPr>
        <w:t>机器人</w:t>
      </w:r>
      <w:r>
        <w:rPr>
          <w:rFonts w:hint="eastAsia" w:ascii="楷体" w:hAnsi="楷体" w:eastAsia="楷体" w:cs="楷体"/>
          <w:sz w:val="24"/>
          <w:szCs w:val="24"/>
          <w:lang w:val="zh-CN"/>
        </w:rPr>
        <w:t>的国际性展览会。该展览会汇聚了来自全球的知名企业和专业人士，展示了</w:t>
      </w:r>
      <w:r>
        <w:rPr>
          <w:rFonts w:hint="eastAsia" w:ascii="楷体" w:hAnsi="楷体" w:eastAsia="楷体" w:cs="楷体"/>
          <w:sz w:val="24"/>
          <w:szCs w:val="24"/>
          <w:lang w:val="en-US" w:eastAsia="zh-CN"/>
        </w:rPr>
        <w:t>前沿</w:t>
      </w:r>
      <w:r>
        <w:rPr>
          <w:rFonts w:hint="eastAsia" w:ascii="楷体" w:hAnsi="楷体" w:eastAsia="楷体" w:cs="楷体"/>
          <w:sz w:val="24"/>
          <w:szCs w:val="24"/>
          <w:lang w:val="zh-CN"/>
        </w:rPr>
        <w:t>的</w:t>
      </w:r>
      <w:r>
        <w:rPr>
          <w:rFonts w:hint="eastAsia" w:ascii="楷体" w:hAnsi="楷体" w:eastAsia="楷体" w:cs="楷体"/>
          <w:sz w:val="24"/>
          <w:szCs w:val="24"/>
          <w:lang w:val="en-US" w:eastAsia="zh-CN"/>
        </w:rPr>
        <w:t>机器人</w:t>
      </w:r>
      <w:r>
        <w:rPr>
          <w:rFonts w:hint="eastAsia" w:ascii="楷体" w:hAnsi="楷体" w:eastAsia="楷体" w:cs="楷体"/>
          <w:sz w:val="24"/>
          <w:szCs w:val="24"/>
          <w:lang w:val="zh-CN"/>
        </w:rPr>
        <w:t>技术和装备，为参展商和观众提供了一个交流和合作的平台。我们致力于推动</w:t>
      </w:r>
      <w:r>
        <w:rPr>
          <w:rFonts w:hint="eastAsia" w:ascii="楷体" w:hAnsi="楷体" w:eastAsia="楷体" w:cs="楷体"/>
          <w:sz w:val="24"/>
          <w:szCs w:val="24"/>
          <w:lang w:val="en-US" w:eastAsia="zh-CN"/>
        </w:rPr>
        <w:t>机器人</w:t>
      </w:r>
      <w:r>
        <w:rPr>
          <w:rFonts w:hint="eastAsia" w:ascii="楷体" w:hAnsi="楷体" w:eastAsia="楷体" w:cs="楷体"/>
          <w:sz w:val="24"/>
          <w:szCs w:val="24"/>
          <w:lang w:val="zh-CN"/>
        </w:rPr>
        <w:t>的发展，促进产业升级和创新发展。欢迎各界人士莅临参观和交流。</w:t>
      </w:r>
    </w:p>
    <w:p w14:paraId="7AEA3ED0">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CRS  EXPO以“</w:t>
      </w:r>
      <w:r>
        <w:rPr>
          <w:rFonts w:hint="eastAsia" w:ascii="楷体" w:hAnsi="楷体" w:eastAsia="楷体" w:cs="楷体"/>
          <w:b/>
          <w:color w:val="E36C0A"/>
          <w:kern w:val="0"/>
          <w:sz w:val="24"/>
          <w:szCs w:val="24"/>
          <w:lang w:val="en-US" w:eastAsia="zh-CN"/>
        </w:rPr>
        <w:t>智变未来   数字智能</w:t>
      </w:r>
      <w:r>
        <w:rPr>
          <w:rFonts w:hint="eastAsia" w:ascii="楷体" w:hAnsi="楷体" w:eastAsia="楷体" w:cs="楷体"/>
          <w:kern w:val="0"/>
          <w:sz w:val="24"/>
          <w:szCs w:val="24"/>
          <w:lang w:val="zh-CN"/>
        </w:rPr>
        <w:t>”为主题，围绕中国制造20</w:t>
      </w:r>
      <w:r>
        <w:rPr>
          <w:rFonts w:hint="eastAsia" w:ascii="楷体" w:hAnsi="楷体" w:eastAsia="楷体" w:cs="楷体"/>
          <w:kern w:val="0"/>
          <w:sz w:val="24"/>
          <w:szCs w:val="24"/>
          <w:lang w:val="en-US" w:eastAsia="zh-CN"/>
        </w:rPr>
        <w:t>30</w:t>
      </w:r>
      <w:r>
        <w:rPr>
          <w:rFonts w:hint="eastAsia" w:ascii="楷体" w:hAnsi="楷体" w:eastAsia="楷体" w:cs="楷体"/>
          <w:kern w:val="0"/>
          <w:sz w:val="24"/>
          <w:szCs w:val="24"/>
          <w:lang w:val="zh-CN"/>
        </w:rPr>
        <w:t>和工业4.0及国家“一带一路”战略，集中展示人工智能及机器人技术设备新成果，展览会汇聚了世界上先进的机器人及智能技术设备，为国内外制造商和广大采购商搭建业务洽谈和学术交流平台。</w:t>
      </w:r>
    </w:p>
    <w:p w14:paraId="3A454E31">
      <w:pPr>
        <w:keepNext w:val="0"/>
        <w:keepLines w:val="0"/>
        <w:pageBreakBefore w:val="0"/>
        <w:tabs>
          <w:tab w:val="left" w:pos="8236"/>
        </w:tabs>
        <w:kinsoku/>
        <w:wordWrap/>
        <w:overflowPunct/>
        <w:topLinePunct w:val="0"/>
        <w:autoSpaceDE w:val="0"/>
        <w:autoSpaceDN w:val="0"/>
        <w:bidi w:val="0"/>
        <w:adjustRightInd w:val="0"/>
        <w:snapToGrid/>
        <w:spacing w:line="340" w:lineRule="exact"/>
        <w:ind w:firstLine="360" w:firstLineChars="15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历经十</w:t>
      </w:r>
      <w:r>
        <w:rPr>
          <w:rFonts w:hint="eastAsia" w:ascii="楷体" w:hAnsi="楷体" w:eastAsia="楷体" w:cs="楷体"/>
          <w:kern w:val="0"/>
          <w:sz w:val="24"/>
          <w:szCs w:val="24"/>
          <w:lang w:val="en-US" w:eastAsia="zh-CN"/>
        </w:rPr>
        <w:t>四</w:t>
      </w:r>
      <w:r>
        <w:rPr>
          <w:rFonts w:hint="eastAsia" w:ascii="楷体" w:hAnsi="楷体" w:eastAsia="楷体" w:cs="楷体"/>
          <w:kern w:val="0"/>
          <w:sz w:val="24"/>
          <w:szCs w:val="24"/>
          <w:lang w:val="zh-CN"/>
        </w:rPr>
        <w:t>年，CRS  EXPO国际地位和影响不断提升，已成为国际先进机器人及智能技术交流与贸易的重要场所，成为机器人及智能技术最新成果的展示平台，是我国机器人及智能技术进步和人工识别及智能工业发展的风向标和晴雨表。CRS  BEIJING展会汇集了全球最先进适用的现代机器人及智能技术产品，对国内采购商和用户来说，是不出国门的国际考察。</w:t>
      </w:r>
    </w:p>
    <w:p w14:paraId="5F1966D9">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1"/>
          <w:szCs w:val="21"/>
          <w:lang w:val="zh-CN"/>
        </w:rPr>
      </w:pPr>
    </w:p>
    <w:p w14:paraId="1C2B026B">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1"/>
          <w:szCs w:val="21"/>
          <w:lang w:val="zh-CN"/>
        </w:rPr>
      </w:pPr>
    </w:p>
    <w:p w14:paraId="2417E890">
      <w:pPr>
        <w:keepNext w:val="0"/>
        <w:keepLines w:val="0"/>
        <w:pageBreakBefore w:val="0"/>
        <w:tabs>
          <w:tab w:val="left" w:pos="8236"/>
        </w:tabs>
        <w:kinsoku/>
        <w:wordWrap/>
        <w:overflowPunct/>
        <w:topLinePunct w:val="0"/>
        <w:autoSpaceDE w:val="0"/>
        <w:autoSpaceDN w:val="0"/>
        <w:bidi w:val="0"/>
        <w:adjustRightInd w:val="0"/>
        <w:snapToGrid/>
        <w:spacing w:line="34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为何参展</w:t>
      </w:r>
    </w:p>
    <w:p w14:paraId="544469B3">
      <w:pPr>
        <w:pStyle w:val="2"/>
        <w:keepNext w:val="0"/>
        <w:keepLines w:val="0"/>
        <w:pageBreakBefore w:val="0"/>
        <w:widowControl/>
        <w:shd w:val="clear" w:color="auto" w:fill="FFFFFF"/>
        <w:kinsoku/>
        <w:wordWrap/>
        <w:overflowPunct/>
        <w:topLinePunct w:val="0"/>
        <w:bidi w:val="0"/>
        <w:snapToGrid/>
        <w:spacing w:line="340" w:lineRule="exact"/>
        <w:ind w:firstLine="480" w:firstLineChars="2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在与顶尖人士的独家会面中：寻找新的买家&amp;合作商</w:t>
      </w:r>
    </w:p>
    <w:p w14:paraId="40A417F3">
      <w:pPr>
        <w:pStyle w:val="2"/>
        <w:keepNext w:val="0"/>
        <w:keepLines w:val="0"/>
        <w:pageBreakBefore w:val="0"/>
        <w:widowControl/>
        <w:shd w:val="clear" w:color="auto" w:fill="FFFFFF"/>
        <w:kinsoku/>
        <w:wordWrap/>
        <w:overflowPunct/>
        <w:topLinePunct w:val="0"/>
        <w:bidi w:val="0"/>
        <w:snapToGrid/>
        <w:spacing w:line="340" w:lineRule="exact"/>
        <w:ind w:firstLine="480" w:firstLineChars="2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向全球增长最快的市场：展示您的产品和服务</w:t>
      </w:r>
    </w:p>
    <w:p w14:paraId="11847300">
      <w:pPr>
        <w:pStyle w:val="2"/>
        <w:keepNext w:val="0"/>
        <w:keepLines w:val="0"/>
        <w:pageBreakBefore w:val="0"/>
        <w:widowControl/>
        <w:shd w:val="clear" w:color="auto" w:fill="FFFFFF"/>
        <w:kinsoku/>
        <w:wordWrap/>
        <w:overflowPunct/>
        <w:topLinePunct w:val="0"/>
        <w:bidi w:val="0"/>
        <w:snapToGrid/>
        <w:spacing w:line="340" w:lineRule="exact"/>
        <w:ind w:firstLine="480" w:firstLineChars="2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直接面向成千上万的高端买家：提升您的品牌</w:t>
      </w:r>
    </w:p>
    <w:p w14:paraId="472DE0EC">
      <w:pPr>
        <w:pStyle w:val="2"/>
        <w:keepNext w:val="0"/>
        <w:keepLines w:val="0"/>
        <w:pageBreakBefore w:val="0"/>
        <w:widowControl/>
        <w:shd w:val="clear" w:color="auto" w:fill="FFFFFF"/>
        <w:kinsoku/>
        <w:wordWrap/>
        <w:overflowPunct/>
        <w:topLinePunct w:val="0"/>
        <w:bidi w:val="0"/>
        <w:snapToGrid/>
        <w:spacing w:line="340" w:lineRule="exact"/>
        <w:ind w:firstLine="480" w:firstLineChars="200"/>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kern w:val="0"/>
          <w:sz w:val="24"/>
          <w:szCs w:val="24"/>
          <w:lang w:val="en-US" w:eastAsia="zh-CN"/>
        </w:rPr>
        <w:t>获取</w:t>
      </w:r>
      <w:r>
        <w:rPr>
          <w:rFonts w:hint="eastAsia" w:ascii="楷体" w:hAnsi="楷体" w:eastAsia="楷体" w:cs="楷体"/>
          <w:kern w:val="0"/>
          <w:sz w:val="24"/>
          <w:szCs w:val="24"/>
          <w:lang w:val="zh-CN"/>
        </w:rPr>
        <w:t>更多商机：抓住市场机遇让你的企业获得更多的买家和合作商</w:t>
      </w:r>
    </w:p>
    <w:p w14:paraId="625A1937">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日程安排</w:t>
      </w:r>
    </w:p>
    <w:p w14:paraId="337C969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 xml:space="preserve">报到布展：2026年5月12日-13日（9:00—17:00） </w:t>
      </w:r>
    </w:p>
    <w:p w14:paraId="51C730B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开幕时间：2026年5月14日（9：30）</w:t>
      </w:r>
    </w:p>
    <w:p w14:paraId="6D1F39E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 xml:space="preserve">展出时间：2026年5月14日-16日（9:00—17:00） </w:t>
      </w:r>
    </w:p>
    <w:p w14:paraId="2FC7895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闭幕时间：2026年5月16日（16:00）</w:t>
      </w:r>
    </w:p>
    <w:p w14:paraId="469EEF1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kern w:val="2"/>
          <w:sz w:val="24"/>
          <w:szCs w:val="24"/>
          <w:lang w:val="en-US" w:eastAsia="zh-CN" w:bidi="ar-SA"/>
        </w:rPr>
        <w:t>撤展时间：2026年5月16日（16:00-21:00）</w:t>
      </w:r>
    </w:p>
    <w:p w14:paraId="741ACE55">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参展范围</w:t>
      </w:r>
    </w:p>
    <w:p w14:paraId="5B6363FE">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sz w:val="24"/>
          <w:szCs w:val="24"/>
        </w:rPr>
        <w:t>工业机器人：◎</w:t>
      </w:r>
      <w:r>
        <w:rPr>
          <w:rFonts w:hint="eastAsia" w:ascii="楷体" w:hAnsi="楷体" w:eastAsia="楷体" w:cs="楷体"/>
          <w:kern w:val="0"/>
          <w:sz w:val="24"/>
          <w:szCs w:val="24"/>
          <w:lang w:val="zh-CN"/>
        </w:rPr>
        <w:t>工业机器人本体：多自由度机器人、并联机器人、坐标机器人、桁架机械手、助力机械手。</w:t>
      </w:r>
    </w:p>
    <w:p w14:paraId="4656A05D">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工业机器人应用产品与解决方案（专机及集成应用）：面向焊接、喷涂、涂胶、堆垛、搬运、装配、检测、分拣、包装等应用领域的工业机器人产品及解决方案；针对汽车、电子、食品、医药、物流、陶瓷、玻璃、注塑、五金、砖瓦、铸造、化工、纺织、皮革、航空航天、机床的行业解决方案。</w:t>
      </w:r>
    </w:p>
    <w:p w14:paraId="6518300C">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◎工业机器人开发平台与软件技术：操作系统、开发平台、仿真技术、测试技术与设备、应用软件。</w:t>
      </w:r>
    </w:p>
    <w:p w14:paraId="019193CA">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◎工业机器人功能部件及零部件：伺服系统、控制器、示教器、电机、减速器、传感器、机器视觉系统、嵌入式系统、机器人手爪、专用工具与夹具。</w:t>
      </w:r>
    </w:p>
    <w:p w14:paraId="1A6D7043">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◎自动小车及有轨小车：AGV、有轨小车。</w:t>
      </w:r>
    </w:p>
    <w:p w14:paraId="4500DE7D">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服务机器人：</w:t>
      </w:r>
      <w:r>
        <w:rPr>
          <w:rFonts w:hint="eastAsia" w:ascii="楷体" w:hAnsi="楷体" w:eastAsia="楷体" w:cs="楷体"/>
          <w:sz w:val="24"/>
          <w:szCs w:val="24"/>
        </w:rPr>
        <w:t>◎</w:t>
      </w:r>
      <w:r>
        <w:rPr>
          <w:rFonts w:hint="eastAsia" w:ascii="楷体" w:hAnsi="楷体" w:eastAsia="楷体" w:cs="楷体"/>
          <w:kern w:val="0"/>
          <w:sz w:val="24"/>
          <w:szCs w:val="24"/>
          <w:lang w:val="zh-CN"/>
        </w:rPr>
        <w:t>教育机器人◎家用服务机器人◎娱乐机器人◎水下机器人◎军工安防机器人◎医用机器人◎环保清洗机器人◎仿生机器人◎相关科研机构、产业园区</w:t>
      </w:r>
    </w:p>
    <w:p w14:paraId="278B7D3A">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b/>
          <w:color w:val="E36C0A"/>
          <w:kern w:val="0"/>
          <w:sz w:val="24"/>
          <w:szCs w:val="24"/>
          <w:lang w:val="zh-CN"/>
        </w:rPr>
      </w:pPr>
      <w:r>
        <w:rPr>
          <w:rFonts w:hint="eastAsia" w:ascii="楷体" w:hAnsi="楷体" w:eastAsia="楷体" w:cs="楷体"/>
          <w:kern w:val="0"/>
          <w:sz w:val="24"/>
          <w:szCs w:val="24"/>
          <w:lang w:val="zh-CN"/>
        </w:rPr>
        <w:t>特殊机器人</w:t>
      </w:r>
    </w:p>
    <w:p w14:paraId="6067EF40">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【主题亮点包括】</w:t>
      </w:r>
    </w:p>
    <w:p w14:paraId="4B307036">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en-US" w:eastAsia="zh-CN"/>
        </w:rPr>
      </w:pPr>
      <w:r>
        <w:rPr>
          <w:rFonts w:hint="eastAsia" w:ascii="楷体" w:hAnsi="楷体" w:eastAsia="楷体" w:cs="楷体"/>
          <w:b/>
          <w:color w:val="E36C0A"/>
          <w:kern w:val="0"/>
          <w:sz w:val="24"/>
          <w:szCs w:val="24"/>
          <w:lang w:val="zh-CN"/>
        </w:rPr>
        <w:t>◆</w:t>
      </w:r>
      <w:r>
        <w:rPr>
          <w:rFonts w:hint="eastAsia" w:ascii="楷体" w:hAnsi="楷体" w:eastAsia="楷体" w:cs="楷体"/>
          <w:sz w:val="24"/>
          <w:szCs w:val="24"/>
          <w:lang w:val="zh-CN"/>
        </w:rPr>
        <w:t xml:space="preserve"> </w:t>
      </w:r>
      <w:r>
        <w:rPr>
          <w:rFonts w:hint="eastAsia" w:ascii="楷体" w:hAnsi="楷体" w:eastAsia="楷体" w:cs="楷体"/>
          <w:sz w:val="24"/>
          <w:szCs w:val="24"/>
          <w:lang w:val="en-US" w:eastAsia="zh-CN"/>
        </w:rPr>
        <w:t>2026世界机器人论坛</w:t>
      </w:r>
    </w:p>
    <w:p w14:paraId="03FCAD9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b/>
          <w:color w:val="E36C0A"/>
          <w:kern w:val="0"/>
          <w:sz w:val="24"/>
          <w:szCs w:val="24"/>
          <w:lang w:val="zh-CN"/>
        </w:rPr>
        <w:t>◆</w:t>
      </w:r>
      <w:r>
        <w:rPr>
          <w:rFonts w:hint="eastAsia" w:ascii="楷体" w:hAnsi="楷体" w:eastAsia="楷体" w:cs="楷体"/>
          <w:sz w:val="24"/>
          <w:szCs w:val="24"/>
          <w:lang w:val="zh-CN"/>
        </w:rPr>
        <w:t xml:space="preserve"> </w:t>
      </w:r>
      <w:r>
        <w:rPr>
          <w:rFonts w:hint="eastAsia" w:ascii="楷体" w:hAnsi="楷体" w:eastAsia="楷体" w:cs="楷体"/>
          <w:sz w:val="24"/>
          <w:szCs w:val="24"/>
          <w:lang w:val="en-US" w:eastAsia="zh-CN"/>
        </w:rPr>
        <w:t>2026</w:t>
      </w:r>
      <w:r>
        <w:rPr>
          <w:rFonts w:hint="eastAsia" w:ascii="楷体" w:hAnsi="楷体" w:eastAsia="楷体" w:cs="楷体"/>
          <w:sz w:val="24"/>
          <w:szCs w:val="24"/>
          <w:lang w:val="zh-CN"/>
        </w:rPr>
        <w:t>京津冀</w:t>
      </w:r>
      <w:r>
        <w:rPr>
          <w:rFonts w:hint="eastAsia" w:ascii="楷体" w:hAnsi="楷体" w:eastAsia="楷体" w:cs="楷体"/>
          <w:sz w:val="24"/>
          <w:szCs w:val="24"/>
          <w:lang w:val="en-US" w:eastAsia="zh-CN"/>
        </w:rPr>
        <w:t>机器人</w:t>
      </w:r>
      <w:r>
        <w:rPr>
          <w:rFonts w:hint="eastAsia" w:ascii="楷体" w:hAnsi="楷体" w:eastAsia="楷体" w:cs="楷体"/>
          <w:sz w:val="24"/>
          <w:szCs w:val="24"/>
          <w:lang w:val="zh-CN"/>
        </w:rPr>
        <w:t>大会</w:t>
      </w:r>
    </w:p>
    <w:p w14:paraId="23E6719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b/>
          <w:color w:val="E36C0A"/>
          <w:kern w:val="0"/>
          <w:sz w:val="24"/>
          <w:szCs w:val="24"/>
          <w:lang w:val="zh-CN"/>
        </w:rPr>
        <w:t>◆</w:t>
      </w:r>
      <w:r>
        <w:rPr>
          <w:rFonts w:hint="eastAsia" w:ascii="楷体" w:hAnsi="楷体" w:eastAsia="楷体" w:cs="楷体"/>
          <w:sz w:val="24"/>
          <w:szCs w:val="24"/>
          <w:lang w:val="zh-CN"/>
        </w:rPr>
        <w:t xml:space="preserve"> </w:t>
      </w:r>
      <w:r>
        <w:rPr>
          <w:rFonts w:hint="eastAsia" w:ascii="楷体" w:hAnsi="楷体" w:eastAsia="楷体" w:cs="楷体"/>
          <w:sz w:val="24"/>
          <w:szCs w:val="24"/>
          <w:lang w:val="en-US" w:eastAsia="zh-CN"/>
        </w:rPr>
        <w:t>2026</w:t>
      </w:r>
      <w:r>
        <w:rPr>
          <w:rFonts w:hint="eastAsia" w:ascii="楷体" w:hAnsi="楷体" w:eastAsia="楷体" w:cs="楷体"/>
          <w:sz w:val="24"/>
          <w:szCs w:val="24"/>
          <w:lang w:val="zh-CN"/>
        </w:rPr>
        <w:t>“工业智能+未来”主论坛</w:t>
      </w:r>
    </w:p>
    <w:p w14:paraId="51C5C42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b/>
          <w:color w:val="E36C0A"/>
          <w:kern w:val="0"/>
          <w:sz w:val="24"/>
          <w:szCs w:val="24"/>
          <w:lang w:val="zh-CN"/>
        </w:rPr>
        <w:t>◆</w:t>
      </w:r>
      <w:r>
        <w:rPr>
          <w:rFonts w:hint="eastAsia" w:ascii="楷体" w:hAnsi="楷体" w:eastAsia="楷体" w:cs="楷体"/>
          <w:sz w:val="24"/>
          <w:szCs w:val="24"/>
          <w:lang w:val="zh-CN"/>
        </w:rPr>
        <w:t xml:space="preserve"> </w:t>
      </w:r>
      <w:r>
        <w:rPr>
          <w:rFonts w:hint="eastAsia" w:ascii="楷体" w:hAnsi="楷体" w:eastAsia="楷体" w:cs="楷体"/>
          <w:sz w:val="24"/>
          <w:szCs w:val="24"/>
          <w:lang w:val="en-US" w:eastAsia="zh-CN"/>
        </w:rPr>
        <w:t>2026</w:t>
      </w:r>
      <w:r>
        <w:rPr>
          <w:rFonts w:hint="eastAsia" w:ascii="楷体" w:hAnsi="楷体" w:eastAsia="楷体" w:cs="楷体"/>
          <w:sz w:val="24"/>
          <w:szCs w:val="24"/>
          <w:lang w:val="zh-CN"/>
        </w:rPr>
        <w:t>“机器人+”赋能千行百业</w:t>
      </w:r>
    </w:p>
    <w:p w14:paraId="3B76A19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b/>
          <w:color w:val="E36C0A"/>
          <w:kern w:val="0"/>
          <w:sz w:val="24"/>
          <w:szCs w:val="24"/>
          <w:lang w:val="zh-CN"/>
        </w:rPr>
        <w:t>◆</w:t>
      </w:r>
      <w:r>
        <w:rPr>
          <w:rFonts w:hint="eastAsia" w:ascii="楷体" w:hAnsi="楷体" w:eastAsia="楷体" w:cs="楷体"/>
          <w:sz w:val="24"/>
          <w:szCs w:val="24"/>
          <w:lang w:val="zh-CN"/>
        </w:rPr>
        <w:t xml:space="preserve"> 新产品新技术发布区—特别专场</w:t>
      </w:r>
    </w:p>
    <w:p w14:paraId="5E60DB46">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与京津冀地区重要的机器人服务商及企业面对面接触，CRS  Expo202</w:t>
      </w:r>
      <w:r>
        <w:rPr>
          <w:rFonts w:hint="eastAsia" w:ascii="楷体" w:hAnsi="楷体" w:eastAsia="楷体" w:cs="楷体"/>
          <w:b/>
          <w:color w:val="E36C0A"/>
          <w:kern w:val="0"/>
          <w:sz w:val="24"/>
          <w:szCs w:val="24"/>
          <w:lang w:val="en-US" w:eastAsia="zh-CN"/>
        </w:rPr>
        <w:t>6</w:t>
      </w:r>
      <w:r>
        <w:rPr>
          <w:rFonts w:hint="eastAsia" w:ascii="楷体" w:hAnsi="楷体" w:eastAsia="楷体" w:cs="楷体"/>
          <w:b/>
          <w:color w:val="E36C0A"/>
          <w:kern w:val="0"/>
          <w:sz w:val="24"/>
          <w:szCs w:val="24"/>
          <w:lang w:val="zh-CN"/>
        </w:rPr>
        <w:t>不容错过！</w:t>
      </w:r>
    </w:p>
    <w:p w14:paraId="463822F2">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·进军被誉为世界级制造装备基地之一的京津冀市场</w:t>
      </w:r>
    </w:p>
    <w:p w14:paraId="666BE586">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·面对来自一带一路延续国家新兴企业的决策者</w:t>
      </w:r>
    </w:p>
    <w:p w14:paraId="312F300B">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·接待特邀专业买家团，与各家公司的技术及工程人员交流</w:t>
      </w:r>
    </w:p>
    <w:p w14:paraId="176E7972">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·接触自世界各地数以千计的专业买家</w:t>
      </w:r>
    </w:p>
    <w:p w14:paraId="25F699BA">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·结识来自全球权威行业协会的领军人物</w:t>
      </w:r>
    </w:p>
    <w:p w14:paraId="2015C25A">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b/>
          <w:color w:val="E36C0A"/>
          <w:kern w:val="0"/>
          <w:sz w:val="24"/>
          <w:szCs w:val="24"/>
          <w:lang w:val="zh-CN"/>
        </w:rPr>
      </w:pPr>
      <w:r>
        <w:rPr>
          <w:rFonts w:hint="eastAsia" w:ascii="楷体" w:hAnsi="楷体" w:eastAsia="楷体" w:cs="楷体"/>
          <w:sz w:val="24"/>
          <w:szCs w:val="24"/>
          <w:lang w:val="zh-CN"/>
        </w:rPr>
        <w:t>·会见业界顶尖媒体和出版社</w:t>
      </w:r>
    </w:p>
    <w:p w14:paraId="6FEAB07E">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观众组织</w:t>
      </w:r>
    </w:p>
    <w:p w14:paraId="6FE63BA9">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1、主办单位印发相关文件抄报省政府各有关部门、发往各地市、工程设计研究院及机械制造商、</w:t>
      </w:r>
      <w:r>
        <w:rPr>
          <w:rFonts w:hint="eastAsia" w:ascii="楷体" w:hAnsi="楷体" w:eastAsia="楷体" w:cs="楷体"/>
          <w:kern w:val="0"/>
          <w:sz w:val="24"/>
          <w:szCs w:val="24"/>
          <w:lang w:val="en-US" w:eastAsia="zh-CN"/>
        </w:rPr>
        <w:t>智能制造、智能工厂、工业自动化、</w:t>
      </w:r>
      <w:r>
        <w:rPr>
          <w:rFonts w:hint="eastAsia" w:ascii="楷体" w:hAnsi="楷体" w:eastAsia="楷体" w:cs="楷体"/>
          <w:kern w:val="0"/>
          <w:sz w:val="24"/>
          <w:szCs w:val="24"/>
          <w:lang w:val="zh-CN"/>
        </w:rPr>
        <w:t>汽车、电子、食品、医药、物流、陶瓷、玻璃、注塑、五金、砖瓦、铸造、化工、纺织、皮革、航空航天、机床的行业等企业，邀请其届时组织单位领导、技术人员、采购人员前来参观采购。</w:t>
      </w:r>
    </w:p>
    <w:p w14:paraId="679E6ACD">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2、在国内外大众传媒、专业杂志、门户网站等300多家媒体对展会进行全方位宣传推广；</w:t>
      </w:r>
    </w:p>
    <w:p w14:paraId="21971C0E">
      <w:pPr>
        <w:keepNext w:val="0"/>
        <w:keepLines w:val="0"/>
        <w:pageBreakBefore w:val="0"/>
        <w:widowControl w:val="0"/>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3、联合全国相关协会、学会共同推广，派发50万份</w:t>
      </w:r>
      <w:r>
        <w:rPr>
          <w:rFonts w:hint="eastAsia" w:ascii="楷体" w:hAnsi="楷体" w:eastAsia="楷体" w:cs="楷体"/>
          <w:kern w:val="0"/>
          <w:sz w:val="24"/>
          <w:szCs w:val="24"/>
          <w:lang w:val="en-US" w:eastAsia="zh-CN"/>
        </w:rPr>
        <w:t>电子</w:t>
      </w:r>
      <w:r>
        <w:rPr>
          <w:rFonts w:hint="eastAsia" w:ascii="楷体" w:hAnsi="楷体" w:eastAsia="楷体" w:cs="楷体"/>
          <w:kern w:val="0"/>
          <w:sz w:val="24"/>
          <w:szCs w:val="24"/>
          <w:lang w:val="zh-CN"/>
        </w:rPr>
        <w:t>展报及</w:t>
      </w:r>
      <w:r>
        <w:rPr>
          <w:rFonts w:hint="eastAsia" w:ascii="楷体" w:hAnsi="楷体" w:eastAsia="楷体" w:cs="楷体"/>
          <w:kern w:val="0"/>
          <w:sz w:val="24"/>
          <w:szCs w:val="24"/>
          <w:lang w:val="en-US" w:eastAsia="zh-CN"/>
        </w:rPr>
        <w:t>电子</w:t>
      </w:r>
      <w:r>
        <w:rPr>
          <w:rFonts w:hint="eastAsia" w:ascii="楷体" w:hAnsi="楷体" w:eastAsia="楷体" w:cs="楷体"/>
          <w:kern w:val="0"/>
          <w:sz w:val="24"/>
          <w:szCs w:val="24"/>
          <w:lang w:val="zh-CN"/>
        </w:rPr>
        <w:t>请柬至全国及海外地区；</w:t>
      </w:r>
    </w:p>
    <w:p w14:paraId="62108DAE">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4、与国外机构、驻华使馆等通力合作，组织境外采购商赴会参观；在国内外大型学术会议、洽谈会上推介；</w:t>
      </w:r>
    </w:p>
    <w:p w14:paraId="3CE8427B">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5、建立“专业观众买家机构”数据库，加强探访联络，不断扩大有效、高质量、专业观众组织工作；</w:t>
      </w:r>
    </w:p>
    <w:p w14:paraId="672362B7">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6、其他相关机构：报刊、杂志、电视、网站、外国驻华使领馆及商务机构等。</w:t>
      </w:r>
    </w:p>
    <w:p w14:paraId="455E31E9">
      <w:pPr>
        <w:keepNext w:val="0"/>
        <w:keepLines w:val="0"/>
        <w:pageBreakBefore w:val="0"/>
        <w:widowControl w:val="0"/>
        <w:numPr>
          <w:ilvl w:val="0"/>
          <w:numId w:val="1"/>
        </w:numPr>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此次展会已与日本、德国、法国、美国、意大利、瑞士、韩国、台湾等机器人展览会结为战略联盟，资源共享，采购商互通。</w:t>
      </w:r>
    </w:p>
    <w:p w14:paraId="285A8D3E">
      <w:pPr>
        <w:keepNext w:val="0"/>
        <w:keepLines w:val="0"/>
        <w:pageBreakBefore w:val="0"/>
        <w:widowControl w:val="0"/>
        <w:numPr>
          <w:ilvl w:val="0"/>
          <w:numId w:val="1"/>
        </w:numPr>
        <w:kinsoku/>
        <w:wordWrap/>
        <w:overflowPunct/>
        <w:topLinePunct w:val="0"/>
        <w:bidi w:val="0"/>
        <w:snapToGrid/>
        <w:spacing w:line="360" w:lineRule="exac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相信通过在</w:t>
      </w:r>
      <w:r>
        <w:rPr>
          <w:rFonts w:hint="eastAsia" w:ascii="楷体" w:hAnsi="楷体" w:eastAsia="楷体" w:cs="楷体"/>
          <w:sz w:val="24"/>
          <w:szCs w:val="24"/>
        </w:rPr>
        <w:t>202</w:t>
      </w:r>
      <w:r>
        <w:rPr>
          <w:rFonts w:hint="eastAsia" w:ascii="楷体" w:hAnsi="楷体" w:eastAsia="楷体" w:cs="楷体"/>
          <w:sz w:val="24"/>
          <w:szCs w:val="24"/>
          <w:lang w:val="en-US" w:eastAsia="zh-CN"/>
        </w:rPr>
        <w:t>6</w:t>
      </w:r>
      <w:r>
        <w:rPr>
          <w:rFonts w:hint="eastAsia" w:ascii="楷体" w:hAnsi="楷体" w:eastAsia="楷体" w:cs="楷体"/>
          <w:sz w:val="24"/>
          <w:szCs w:val="24"/>
        </w:rPr>
        <w:t>第十</w:t>
      </w:r>
      <w:r>
        <w:rPr>
          <w:rFonts w:hint="eastAsia" w:ascii="楷体" w:hAnsi="楷体" w:eastAsia="楷体" w:cs="楷体"/>
          <w:sz w:val="24"/>
          <w:szCs w:val="24"/>
          <w:lang w:val="en-US" w:eastAsia="zh-CN"/>
        </w:rPr>
        <w:t>五</w:t>
      </w:r>
      <w:r>
        <w:rPr>
          <w:rFonts w:hint="eastAsia" w:ascii="楷体" w:hAnsi="楷体" w:eastAsia="楷体" w:cs="楷体"/>
          <w:sz w:val="24"/>
          <w:szCs w:val="24"/>
        </w:rPr>
        <w:t>届北京国际机器人展览会 (CRS BEIJING)</w:t>
      </w:r>
      <w:r>
        <w:rPr>
          <w:rFonts w:hint="eastAsia" w:ascii="楷体" w:hAnsi="楷体" w:eastAsia="楷体" w:cs="楷体"/>
          <w:kern w:val="0"/>
          <w:sz w:val="24"/>
          <w:szCs w:val="24"/>
          <w:lang w:val="zh-CN"/>
        </w:rPr>
        <w:t>这个引领机器人智能发展趋势、最新政策发布的国际性展示平台，参展商能够以更加迅捷高效的方式建立并维护客户关系，获取新销售的销售渠道，扩大并推广新产品宣传力度，树立更高的企业品牌形象以达到进一步增强市场竞争力的目的。</w:t>
      </w:r>
    </w:p>
    <w:p w14:paraId="2544166D">
      <w:pPr>
        <w:keepNext w:val="0"/>
        <w:keepLines w:val="0"/>
        <w:pageBreakBefore w:val="0"/>
        <w:widowControl w:val="0"/>
        <w:numPr>
          <w:ilvl w:val="0"/>
          <w:numId w:val="1"/>
        </w:numPr>
        <w:kinsoku/>
        <w:wordWrap/>
        <w:overflowPunct/>
        <w:topLinePunct w:val="0"/>
        <w:bidi w:val="0"/>
        <w:snapToGrid/>
        <w:spacing w:line="360" w:lineRule="exact"/>
        <w:textAlignment w:val="auto"/>
        <w:rPr>
          <w:rFonts w:hint="eastAsia" w:ascii="楷体" w:hAnsi="楷体" w:eastAsia="楷体" w:cs="楷体"/>
          <w:b/>
          <w:color w:val="E36C0A"/>
          <w:kern w:val="0"/>
          <w:sz w:val="18"/>
          <w:szCs w:val="18"/>
          <w:lang w:val="zh-CN"/>
        </w:rPr>
      </w:pPr>
      <w:r>
        <w:rPr>
          <w:rFonts w:hint="eastAsia" w:ascii="楷体" w:hAnsi="楷体" w:eastAsia="楷体" w:cs="楷体"/>
          <w:kern w:val="0"/>
          <w:sz w:val="24"/>
          <w:szCs w:val="24"/>
          <w:lang w:val="zh-CN"/>
        </w:rPr>
        <w:t>京禾展览采购商促进部实行量身定做“一对一”服务，了解每个参展商量身需求，确定专业观众目标，及时为每个参展商寻找买家，使买家与参展商达到参加展会之需求，力求实效，让您满意。</w:t>
      </w:r>
    </w:p>
    <w:p w14:paraId="30274E9C">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★技术交流</w:t>
      </w:r>
    </w:p>
    <w:p w14:paraId="61801D82">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kern w:val="0"/>
          <w:sz w:val="24"/>
          <w:szCs w:val="24"/>
          <w:lang w:val="zh-CN"/>
        </w:rPr>
        <w:t>展会期间，展会组委会将协助国内、外参展企业在展馆会议室举办多场技术交流讲座，内容由企业自定，每场听众100-120人，由企业自己邀请，组委会协助组织，并于202</w:t>
      </w:r>
      <w:r>
        <w:rPr>
          <w:rFonts w:hint="eastAsia" w:ascii="楷体" w:hAnsi="楷体" w:eastAsia="楷体" w:cs="楷体"/>
          <w:kern w:val="0"/>
          <w:sz w:val="24"/>
          <w:szCs w:val="24"/>
          <w:lang w:val="en-US" w:eastAsia="zh-CN"/>
        </w:rPr>
        <w:t>6</w:t>
      </w:r>
      <w:r>
        <w:rPr>
          <w:rFonts w:hint="eastAsia" w:ascii="楷体" w:hAnsi="楷体" w:eastAsia="楷体" w:cs="楷体"/>
          <w:kern w:val="0"/>
          <w:sz w:val="24"/>
          <w:szCs w:val="24"/>
          <w:lang w:val="zh-CN"/>
        </w:rPr>
        <w:t>年</w:t>
      </w:r>
      <w:r>
        <w:rPr>
          <w:rFonts w:hint="eastAsia" w:ascii="楷体" w:hAnsi="楷体" w:eastAsia="楷体" w:cs="楷体"/>
          <w:kern w:val="0"/>
          <w:sz w:val="24"/>
          <w:szCs w:val="24"/>
          <w:lang w:val="en-US" w:eastAsia="zh-CN"/>
        </w:rPr>
        <w:t>5</w:t>
      </w:r>
      <w:r>
        <w:rPr>
          <w:rFonts w:hint="eastAsia" w:ascii="楷体" w:hAnsi="楷体" w:eastAsia="楷体" w:cs="楷体"/>
          <w:kern w:val="0"/>
          <w:sz w:val="24"/>
          <w:szCs w:val="24"/>
          <w:lang w:val="zh-CN"/>
        </w:rPr>
        <w:t>月</w:t>
      </w:r>
      <w:r>
        <w:rPr>
          <w:rFonts w:hint="eastAsia" w:ascii="楷体" w:hAnsi="楷体" w:eastAsia="楷体" w:cs="楷体"/>
          <w:kern w:val="0"/>
          <w:sz w:val="24"/>
          <w:szCs w:val="24"/>
          <w:lang w:val="en-US" w:eastAsia="zh-CN"/>
        </w:rPr>
        <w:t>20</w:t>
      </w:r>
      <w:r>
        <w:rPr>
          <w:rFonts w:hint="eastAsia" w:ascii="楷体" w:hAnsi="楷体" w:eastAsia="楷体" w:cs="楷体"/>
          <w:kern w:val="0"/>
          <w:sz w:val="24"/>
          <w:szCs w:val="24"/>
          <w:lang w:val="zh-CN"/>
        </w:rPr>
        <w:t>日前将讲座题目、主要内容和主讲人姓名报组委会。技术交流讲座场次有限，报满为止，每场讲座25分钟，费用10000元/场。</w:t>
      </w:r>
    </w:p>
    <w:p w14:paraId="2385082B">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★收费标准</w:t>
      </w:r>
    </w:p>
    <w:p w14:paraId="75864150">
      <w:pPr>
        <w:keepNext w:val="0"/>
        <w:keepLines w:val="0"/>
        <w:pageBreakBefore w:val="0"/>
        <w:widowControl w:val="0"/>
        <w:numPr>
          <w:ilvl w:val="0"/>
          <w:numId w:val="2"/>
        </w:numPr>
        <w:tabs>
          <w:tab w:val="left" w:pos="8236"/>
        </w:tabs>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标准展位9m²(3m×3m);配置：展出场地、三面展板（高2.5m）、一块中英文楣板、一张洽谈桌、二把椅子、地毯、220V电源插座一个、二支射灯。</w:t>
      </w:r>
    </w:p>
    <w:p w14:paraId="7C81B2E7">
      <w:pPr>
        <w:keepNext w:val="0"/>
        <w:keepLines w:val="0"/>
        <w:pageBreakBefore w:val="0"/>
        <w:widowControl w:val="0"/>
        <w:numPr>
          <w:ilvl w:val="0"/>
          <w:numId w:val="0"/>
        </w:numPr>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en-US" w:eastAsia="zh-CN"/>
        </w:rPr>
        <w:t>说明：标准展位用电超过5A需另行申请；展位内提供的220V/5A单项插座，只可接驳于电视、电脑、手机充电器等，严禁用于机器接驳及照明接驳</w:t>
      </w:r>
      <w:r>
        <w:rPr>
          <w:rFonts w:hint="eastAsia" w:ascii="楷体" w:hAnsi="楷体" w:eastAsia="楷体" w:cs="楷体"/>
          <w:kern w:val="0"/>
          <w:sz w:val="24"/>
          <w:szCs w:val="24"/>
          <w:lang w:val="zh-CN"/>
        </w:rPr>
        <w:t xml:space="preserve"> ；</w:t>
      </w:r>
    </w:p>
    <w:tbl>
      <w:tblPr>
        <w:tblStyle w:val="5"/>
        <w:tblW w:w="9555" w:type="dxa"/>
        <w:tblInd w:w="-252" w:type="dxa"/>
        <w:tblLayout w:type="fixed"/>
        <w:tblCellMar>
          <w:top w:w="0" w:type="dxa"/>
          <w:left w:w="108" w:type="dxa"/>
          <w:bottom w:w="0" w:type="dxa"/>
          <w:right w:w="108" w:type="dxa"/>
        </w:tblCellMar>
      </w:tblPr>
      <w:tblGrid>
        <w:gridCol w:w="2565"/>
        <w:gridCol w:w="2949"/>
        <w:gridCol w:w="4041"/>
      </w:tblGrid>
      <w:tr w14:paraId="51142552">
        <w:tblPrEx>
          <w:tblCellMar>
            <w:top w:w="0" w:type="dxa"/>
            <w:left w:w="108" w:type="dxa"/>
            <w:bottom w:w="0" w:type="dxa"/>
            <w:right w:w="108" w:type="dxa"/>
          </w:tblCellMar>
        </w:tblPrEx>
        <w:trPr>
          <w:trHeight w:val="320" w:hRule="atLeast"/>
        </w:trPr>
        <w:tc>
          <w:tcPr>
            <w:tcW w:w="2565" w:type="dxa"/>
            <w:tcBorders>
              <w:top w:val="outset" w:color="000000" w:sz="6" w:space="0"/>
              <w:left w:val="outset" w:color="000000" w:sz="6" w:space="0"/>
              <w:bottom w:val="outset" w:color="000000" w:sz="6" w:space="0"/>
              <w:right w:val="outset" w:color="000000" w:sz="6" w:space="0"/>
            </w:tcBorders>
            <w:vAlign w:val="center"/>
          </w:tcPr>
          <w:p w14:paraId="17A7AA48">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国内馆标准展位</w:t>
            </w:r>
          </w:p>
        </w:tc>
        <w:tc>
          <w:tcPr>
            <w:tcW w:w="2949" w:type="dxa"/>
            <w:tcBorders>
              <w:top w:val="outset" w:color="000000" w:sz="6" w:space="0"/>
              <w:left w:val="single" w:color="auto" w:sz="6" w:space="0"/>
              <w:bottom w:val="outset" w:color="000000" w:sz="6" w:space="0"/>
              <w:right w:val="outset" w:color="000000" w:sz="6" w:space="0"/>
            </w:tcBorders>
            <w:vAlign w:val="center"/>
          </w:tcPr>
          <w:p w14:paraId="09798155">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标准展位：￥16800元/9㎡</w:t>
            </w:r>
          </w:p>
        </w:tc>
        <w:tc>
          <w:tcPr>
            <w:tcW w:w="4041" w:type="dxa"/>
            <w:tcBorders>
              <w:top w:val="outset" w:color="000000" w:sz="6" w:space="0"/>
              <w:left w:val="single" w:color="auto" w:sz="6" w:space="0"/>
              <w:bottom w:val="outset" w:color="000000" w:sz="6" w:space="0"/>
              <w:right w:val="outset" w:color="000000" w:sz="6" w:space="0"/>
            </w:tcBorders>
            <w:vAlign w:val="center"/>
          </w:tcPr>
          <w:p w14:paraId="6D32559C">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合资企业标准展位：￥30000元/9㎡</w:t>
            </w:r>
          </w:p>
        </w:tc>
      </w:tr>
      <w:tr w14:paraId="52A5C2C2">
        <w:tblPrEx>
          <w:tblCellMar>
            <w:top w:w="0" w:type="dxa"/>
            <w:left w:w="108" w:type="dxa"/>
            <w:bottom w:w="0" w:type="dxa"/>
            <w:right w:w="108" w:type="dxa"/>
          </w:tblCellMar>
        </w:tblPrEx>
        <w:trPr>
          <w:trHeight w:val="320" w:hRule="atLeast"/>
        </w:trPr>
        <w:tc>
          <w:tcPr>
            <w:tcW w:w="2565" w:type="dxa"/>
            <w:tcBorders>
              <w:top w:val="outset" w:color="000000" w:sz="6" w:space="0"/>
              <w:left w:val="outset" w:color="000000" w:sz="6" w:space="0"/>
              <w:bottom w:val="outset" w:color="000000" w:sz="6" w:space="0"/>
              <w:right w:val="outset" w:color="000000" w:sz="6" w:space="0"/>
            </w:tcBorders>
            <w:vAlign w:val="center"/>
          </w:tcPr>
          <w:p w14:paraId="3883B417">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p>
        </w:tc>
        <w:tc>
          <w:tcPr>
            <w:tcW w:w="6990" w:type="dxa"/>
            <w:gridSpan w:val="2"/>
            <w:tcBorders>
              <w:top w:val="outset" w:color="000000" w:sz="6" w:space="0"/>
              <w:left w:val="single" w:color="auto" w:sz="6" w:space="0"/>
              <w:bottom w:val="outset" w:color="000000" w:sz="6" w:space="0"/>
              <w:right w:val="outset" w:color="000000" w:sz="6" w:space="0"/>
            </w:tcBorders>
            <w:vAlign w:val="center"/>
          </w:tcPr>
          <w:p w14:paraId="1198951A">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角展位置：</w:t>
            </w:r>
            <w:r>
              <w:rPr>
                <w:rFonts w:hint="eastAsia" w:ascii="楷体" w:hAnsi="楷体" w:eastAsia="楷体" w:cs="楷体"/>
                <w:kern w:val="0"/>
                <w:sz w:val="24"/>
                <w:szCs w:val="24"/>
                <w:lang w:val="zh-CN"/>
              </w:rPr>
              <w:t>￥1</w:t>
            </w:r>
            <w:r>
              <w:rPr>
                <w:rFonts w:hint="eastAsia" w:ascii="楷体" w:hAnsi="楷体" w:eastAsia="楷体" w:cs="楷体"/>
                <w:kern w:val="0"/>
                <w:sz w:val="24"/>
                <w:szCs w:val="24"/>
                <w:lang w:val="en-US" w:eastAsia="zh-CN"/>
              </w:rPr>
              <w:t>8</w:t>
            </w:r>
            <w:r>
              <w:rPr>
                <w:rFonts w:hint="eastAsia" w:ascii="楷体" w:hAnsi="楷体" w:eastAsia="楷体" w:cs="楷体"/>
                <w:kern w:val="0"/>
                <w:sz w:val="24"/>
                <w:szCs w:val="24"/>
                <w:lang w:val="zh-CN"/>
              </w:rPr>
              <w:t>800元/9㎡（</w:t>
            </w:r>
            <w:r>
              <w:rPr>
                <w:rFonts w:hint="eastAsia" w:ascii="楷体" w:hAnsi="楷体" w:eastAsia="楷体" w:cs="楷体"/>
                <w:kern w:val="0"/>
                <w:sz w:val="24"/>
                <w:szCs w:val="24"/>
                <w:lang w:val="en-US" w:eastAsia="zh-CN"/>
              </w:rPr>
              <w:t>双面开口展位9平方</w:t>
            </w:r>
            <w:r>
              <w:rPr>
                <w:rFonts w:hint="eastAsia" w:ascii="楷体" w:hAnsi="楷体" w:eastAsia="楷体" w:cs="楷体"/>
                <w:kern w:val="0"/>
                <w:sz w:val="24"/>
                <w:szCs w:val="24"/>
                <w:lang w:val="zh-CN"/>
              </w:rPr>
              <w:t>）</w:t>
            </w:r>
          </w:p>
        </w:tc>
      </w:tr>
      <w:tr w14:paraId="0EEC3C55">
        <w:tblPrEx>
          <w:tblCellMar>
            <w:top w:w="0" w:type="dxa"/>
            <w:left w:w="108" w:type="dxa"/>
            <w:bottom w:w="0" w:type="dxa"/>
            <w:right w:w="108" w:type="dxa"/>
          </w:tblCellMar>
        </w:tblPrEx>
        <w:trPr>
          <w:trHeight w:val="256" w:hRule="atLeast"/>
        </w:trPr>
        <w:tc>
          <w:tcPr>
            <w:tcW w:w="2565" w:type="dxa"/>
            <w:tcBorders>
              <w:top w:val="outset" w:color="000000" w:sz="6" w:space="0"/>
              <w:left w:val="outset" w:color="000000" w:sz="6" w:space="0"/>
              <w:bottom w:val="outset" w:color="000000" w:sz="6" w:space="0"/>
              <w:right w:val="outset" w:color="000000" w:sz="6" w:space="0"/>
            </w:tcBorders>
            <w:vAlign w:val="center"/>
          </w:tcPr>
          <w:p w14:paraId="4DD43444">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精装修展位3x</w:t>
            </w:r>
            <w:r>
              <w:rPr>
                <w:rFonts w:hint="eastAsia" w:ascii="楷体" w:hAnsi="楷体" w:eastAsia="楷体" w:cs="楷体"/>
                <w:kern w:val="0"/>
                <w:sz w:val="24"/>
                <w:szCs w:val="24"/>
              </w:rPr>
              <w:t>3</w:t>
            </w:r>
            <w:r>
              <w:rPr>
                <w:rFonts w:hint="eastAsia" w:ascii="楷体" w:hAnsi="楷体" w:eastAsia="楷体" w:cs="楷体"/>
                <w:kern w:val="0"/>
                <w:sz w:val="24"/>
                <w:szCs w:val="24"/>
                <w:lang w:val="zh-CN"/>
              </w:rPr>
              <w:t>（索图）</w:t>
            </w:r>
          </w:p>
        </w:tc>
        <w:tc>
          <w:tcPr>
            <w:tcW w:w="2949" w:type="dxa"/>
            <w:tcBorders>
              <w:top w:val="outset" w:color="000000" w:sz="6" w:space="0"/>
              <w:left w:val="single" w:color="auto" w:sz="6" w:space="0"/>
              <w:bottom w:val="outset" w:color="000000" w:sz="6" w:space="0"/>
              <w:right w:val="outset" w:color="000000" w:sz="6" w:space="0"/>
            </w:tcBorders>
            <w:vAlign w:val="center"/>
          </w:tcPr>
          <w:p w14:paraId="119DD6C9">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国内：￥23800元/</w:t>
            </w:r>
            <w:r>
              <w:rPr>
                <w:rFonts w:hint="eastAsia" w:ascii="楷体" w:hAnsi="楷体" w:eastAsia="楷体" w:cs="楷体"/>
                <w:kern w:val="0"/>
                <w:sz w:val="24"/>
                <w:szCs w:val="24"/>
              </w:rPr>
              <w:t>9</w:t>
            </w:r>
            <w:r>
              <w:rPr>
                <w:rFonts w:hint="eastAsia" w:ascii="楷体" w:hAnsi="楷体" w:eastAsia="楷体" w:cs="楷体"/>
                <w:kern w:val="0"/>
                <w:sz w:val="24"/>
                <w:szCs w:val="24"/>
                <w:lang w:val="zh-CN"/>
              </w:rPr>
              <w:t>㎡</w:t>
            </w:r>
          </w:p>
        </w:tc>
        <w:tc>
          <w:tcPr>
            <w:tcW w:w="4041" w:type="dxa"/>
            <w:tcBorders>
              <w:top w:val="outset" w:color="000000" w:sz="6" w:space="0"/>
              <w:left w:val="single" w:color="auto" w:sz="6" w:space="0"/>
              <w:bottom w:val="outset" w:color="000000" w:sz="6" w:space="0"/>
              <w:right w:val="outset" w:color="000000" w:sz="6" w:space="0"/>
            </w:tcBorders>
            <w:vAlign w:val="center"/>
          </w:tcPr>
          <w:p w14:paraId="08318474">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外(合)资企业：￥40000元/</w:t>
            </w:r>
            <w:r>
              <w:rPr>
                <w:rFonts w:hint="eastAsia" w:ascii="楷体" w:hAnsi="楷体" w:eastAsia="楷体" w:cs="楷体"/>
                <w:kern w:val="0"/>
                <w:sz w:val="24"/>
                <w:szCs w:val="24"/>
              </w:rPr>
              <w:t>9</w:t>
            </w:r>
            <w:r>
              <w:rPr>
                <w:rFonts w:hint="eastAsia" w:ascii="楷体" w:hAnsi="楷体" w:eastAsia="楷体" w:cs="楷体"/>
                <w:kern w:val="0"/>
                <w:sz w:val="24"/>
                <w:szCs w:val="24"/>
                <w:lang w:val="zh-CN"/>
              </w:rPr>
              <w:t>㎡</w:t>
            </w:r>
          </w:p>
        </w:tc>
      </w:tr>
      <w:tr w14:paraId="115EFAA2">
        <w:tblPrEx>
          <w:tblCellMar>
            <w:top w:w="0" w:type="dxa"/>
            <w:left w:w="108" w:type="dxa"/>
            <w:bottom w:w="0" w:type="dxa"/>
            <w:right w:w="108" w:type="dxa"/>
          </w:tblCellMar>
        </w:tblPrEx>
        <w:trPr>
          <w:trHeight w:val="262" w:hRule="atLeast"/>
        </w:trPr>
        <w:tc>
          <w:tcPr>
            <w:tcW w:w="2565" w:type="dxa"/>
            <w:tcBorders>
              <w:top w:val="outset" w:color="000000" w:sz="6" w:space="0"/>
              <w:left w:val="outset" w:color="000000" w:sz="6" w:space="0"/>
              <w:bottom w:val="outset" w:color="000000" w:sz="6" w:space="0"/>
              <w:right w:val="outset" w:color="000000" w:sz="6" w:space="0"/>
            </w:tcBorders>
            <w:vAlign w:val="center"/>
          </w:tcPr>
          <w:p w14:paraId="14A625EE">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国际馆标准展位</w:t>
            </w:r>
          </w:p>
        </w:tc>
        <w:tc>
          <w:tcPr>
            <w:tcW w:w="2949" w:type="dxa"/>
            <w:tcBorders>
              <w:top w:val="outset" w:color="000000" w:sz="6" w:space="0"/>
              <w:left w:val="single" w:color="auto" w:sz="6" w:space="0"/>
              <w:bottom w:val="outset" w:color="000000" w:sz="6" w:space="0"/>
              <w:right w:val="outset" w:color="000000" w:sz="6" w:space="0"/>
            </w:tcBorders>
            <w:vAlign w:val="center"/>
          </w:tcPr>
          <w:p w14:paraId="22646F0C">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展位：￥36000元/9㎡</w:t>
            </w:r>
          </w:p>
        </w:tc>
        <w:tc>
          <w:tcPr>
            <w:tcW w:w="4041" w:type="dxa"/>
            <w:tcBorders>
              <w:top w:val="outset" w:color="000000" w:sz="6" w:space="0"/>
              <w:left w:val="single" w:color="auto" w:sz="6" w:space="0"/>
              <w:bottom w:val="outset" w:color="000000" w:sz="6" w:space="0"/>
              <w:right w:val="outset" w:color="000000" w:sz="6" w:space="0"/>
            </w:tcBorders>
            <w:vAlign w:val="center"/>
          </w:tcPr>
          <w:p w14:paraId="62CE7945">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精装修展位配置（索图）</w:t>
            </w:r>
          </w:p>
        </w:tc>
      </w:tr>
    </w:tbl>
    <w:p w14:paraId="7129F20A">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2、光地（不低于36 m²起租）；配置：展出场地、保安服务、公共责任保险、无任何设施</w:t>
      </w:r>
    </w:p>
    <w:tbl>
      <w:tblPr>
        <w:tblStyle w:val="5"/>
        <w:tblW w:w="9840" w:type="dxa"/>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650"/>
        <w:gridCol w:w="5190"/>
      </w:tblGrid>
      <w:tr w14:paraId="69ACCB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4650" w:type="dxa"/>
            <w:tcBorders>
              <w:top w:val="single" w:color="auto" w:sz="4" w:space="0"/>
              <w:bottom w:val="single" w:color="auto" w:sz="4" w:space="0"/>
              <w:right w:val="single" w:color="auto" w:sz="4" w:space="0"/>
            </w:tcBorders>
            <w:vAlign w:val="center"/>
          </w:tcPr>
          <w:p w14:paraId="66AB9400">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国内馆室内光地（36㎡起）：￥1700元/㎡</w:t>
            </w:r>
          </w:p>
        </w:tc>
        <w:tc>
          <w:tcPr>
            <w:tcW w:w="5190" w:type="dxa"/>
            <w:tcBorders>
              <w:top w:val="single" w:color="auto" w:sz="4" w:space="0"/>
              <w:left w:val="single" w:color="auto" w:sz="4" w:space="0"/>
              <w:bottom w:val="single" w:color="auto" w:sz="4" w:space="0"/>
            </w:tcBorders>
            <w:vAlign w:val="center"/>
          </w:tcPr>
          <w:p w14:paraId="775F1546">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国际馆室内光地（36㎡起租）：￥4000元/㎡</w:t>
            </w:r>
          </w:p>
        </w:tc>
      </w:tr>
      <w:tr w14:paraId="62875E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4650" w:type="dxa"/>
            <w:tcBorders>
              <w:top w:val="single" w:color="auto" w:sz="4" w:space="0"/>
              <w:bottom w:val="single" w:color="auto" w:sz="4" w:space="0"/>
              <w:right w:val="single" w:color="auto" w:sz="4" w:space="0"/>
            </w:tcBorders>
            <w:vAlign w:val="center"/>
          </w:tcPr>
          <w:p w14:paraId="0F95D2D0">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lang w:val="zh-CN"/>
              </w:rPr>
              <w:t>室外光地</w:t>
            </w:r>
            <w:r>
              <w:rPr>
                <w:rFonts w:hint="eastAsia" w:ascii="楷体" w:hAnsi="楷体" w:eastAsia="楷体" w:cs="楷体"/>
                <w:kern w:val="0"/>
                <w:sz w:val="24"/>
                <w:szCs w:val="24"/>
              </w:rPr>
              <w:t>（36</w:t>
            </w:r>
            <w:r>
              <w:rPr>
                <w:rFonts w:hint="eastAsia" w:ascii="楷体" w:hAnsi="楷体" w:eastAsia="楷体" w:cs="楷体"/>
                <w:kern w:val="0"/>
                <w:sz w:val="24"/>
                <w:szCs w:val="24"/>
                <w:lang w:val="zh-CN"/>
              </w:rPr>
              <w:t>㎡起</w:t>
            </w:r>
            <w:r>
              <w:rPr>
                <w:rFonts w:hint="eastAsia" w:ascii="楷体" w:hAnsi="楷体" w:eastAsia="楷体" w:cs="楷体"/>
                <w:kern w:val="0"/>
                <w:sz w:val="24"/>
                <w:szCs w:val="24"/>
              </w:rPr>
              <w:t>）：</w:t>
            </w:r>
            <w:r>
              <w:rPr>
                <w:rFonts w:hint="eastAsia" w:ascii="楷体" w:hAnsi="楷体" w:eastAsia="楷体" w:cs="楷体"/>
                <w:kern w:val="0"/>
                <w:sz w:val="24"/>
                <w:szCs w:val="24"/>
                <w:lang w:val="zh-CN"/>
              </w:rPr>
              <w:t>￥</w:t>
            </w:r>
            <w:r>
              <w:rPr>
                <w:rFonts w:hint="eastAsia" w:ascii="楷体" w:hAnsi="楷体" w:eastAsia="楷体" w:cs="楷体"/>
                <w:kern w:val="0"/>
                <w:sz w:val="24"/>
                <w:szCs w:val="24"/>
              </w:rPr>
              <w:t>1500</w:t>
            </w:r>
            <w:r>
              <w:rPr>
                <w:rFonts w:hint="eastAsia" w:ascii="楷体" w:hAnsi="楷体" w:eastAsia="楷体" w:cs="楷体"/>
                <w:kern w:val="0"/>
                <w:sz w:val="24"/>
                <w:szCs w:val="24"/>
                <w:lang w:val="zh-CN"/>
              </w:rPr>
              <w:t>元</w:t>
            </w:r>
            <w:r>
              <w:rPr>
                <w:rFonts w:hint="eastAsia" w:ascii="楷体" w:hAnsi="楷体" w:eastAsia="楷体" w:cs="楷体"/>
                <w:kern w:val="0"/>
                <w:sz w:val="24"/>
                <w:szCs w:val="24"/>
              </w:rPr>
              <w:t>/</w:t>
            </w:r>
            <w:r>
              <w:rPr>
                <w:rFonts w:hint="eastAsia" w:ascii="楷体" w:hAnsi="楷体" w:eastAsia="楷体" w:cs="楷体"/>
                <w:kern w:val="0"/>
                <w:sz w:val="24"/>
                <w:szCs w:val="24"/>
                <w:lang w:val="zh-CN"/>
              </w:rPr>
              <w:t>㎡</w:t>
            </w:r>
          </w:p>
        </w:tc>
        <w:tc>
          <w:tcPr>
            <w:tcW w:w="5190" w:type="dxa"/>
            <w:tcBorders>
              <w:top w:val="single" w:color="auto" w:sz="4" w:space="0"/>
              <w:left w:val="single" w:color="auto" w:sz="4" w:space="0"/>
              <w:bottom w:val="single" w:color="auto" w:sz="4" w:space="0"/>
            </w:tcBorders>
            <w:vAlign w:val="center"/>
          </w:tcPr>
          <w:p w14:paraId="0B7E1EAB">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外资（合资）企业（36㎡起租）：￥3000元/㎡</w:t>
            </w:r>
          </w:p>
        </w:tc>
      </w:tr>
    </w:tbl>
    <w:p w14:paraId="3D9D26EE">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注明：更多广告及推广方案请与主办方联系；</w:t>
      </w:r>
    </w:p>
    <w:p w14:paraId="102BD7EB">
      <w:pPr>
        <w:keepNext w:val="0"/>
        <w:keepLines w:val="0"/>
        <w:pageBreakBefore w:val="0"/>
        <w:widowControl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1"/>
          <w:szCs w:val="21"/>
          <w:lang w:val="zh-CN"/>
        </w:rPr>
      </w:pPr>
      <w:r>
        <w:rPr>
          <w:rFonts w:hint="eastAsia" w:ascii="楷体" w:hAnsi="楷体" w:eastAsia="楷体" w:cs="楷体"/>
          <w:kern w:val="0"/>
          <w:sz w:val="24"/>
          <w:szCs w:val="24"/>
          <w:lang w:val="zh-CN"/>
        </w:rPr>
        <w:t>本届展会提供多种赞助方案,给经营者和供应商提供了更多参与的机会,由此可以最大限度的进行有效宣传；如有意企业选赞助，请向组委会索取参与细则。本次展览会80%以上企业为特装，建议预订光地自行搭建。</w:t>
      </w:r>
    </w:p>
    <w:p w14:paraId="6212929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1"/>
          <w:szCs w:val="21"/>
          <w:lang w:val="zh-CN"/>
        </w:rPr>
      </w:pPr>
      <w:r>
        <w:rPr>
          <w:rFonts w:hint="eastAsia" w:ascii="楷体" w:hAnsi="楷体" w:eastAsia="楷体" w:cs="楷体"/>
          <w:b/>
          <w:color w:val="E36C0A"/>
          <w:kern w:val="0"/>
          <w:sz w:val="21"/>
          <w:szCs w:val="21"/>
          <w:lang w:val="zh-CN"/>
        </w:rPr>
        <w:t>大会会刊</w:t>
      </w:r>
    </w:p>
    <w:p w14:paraId="6E398A34">
      <w:pPr>
        <w:keepNext w:val="0"/>
        <w:keepLines w:val="0"/>
        <w:pageBreakBefore w:val="0"/>
        <w:tabs>
          <w:tab w:val="left" w:pos="8236"/>
        </w:tabs>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楷体" w:hAnsi="楷体" w:eastAsia="楷体" w:cs="楷体"/>
          <w:sz w:val="24"/>
          <w:szCs w:val="24"/>
          <w:lang w:val="zh-CN"/>
        </w:rPr>
      </w:pPr>
      <w:r>
        <w:rPr>
          <w:rFonts w:hint="eastAsia" w:ascii="楷体" w:hAnsi="楷体" w:eastAsia="楷体" w:cs="楷体"/>
          <w:sz w:val="24"/>
          <w:szCs w:val="24"/>
          <w:lang w:val="zh-CN"/>
        </w:rPr>
        <w:t>为了配合展商在展览期间宣传及让客户了解展商并在会后能与之沟通联系，组委会将精心编印大会</w:t>
      </w:r>
      <w:r>
        <w:rPr>
          <w:rFonts w:hint="eastAsia" w:ascii="楷体" w:hAnsi="楷体" w:eastAsia="楷体" w:cs="楷体"/>
          <w:sz w:val="24"/>
          <w:szCs w:val="24"/>
          <w:lang w:val="en-US" w:eastAsia="zh-CN"/>
        </w:rPr>
        <w:t>参展商通讯录</w:t>
      </w:r>
      <w:r>
        <w:rPr>
          <w:rFonts w:hint="eastAsia" w:ascii="楷体" w:hAnsi="楷体" w:eastAsia="楷体" w:cs="楷体"/>
          <w:sz w:val="24"/>
          <w:szCs w:val="24"/>
          <w:lang w:val="zh-CN"/>
        </w:rPr>
        <w:t>，规格：</w:t>
      </w:r>
      <w:r>
        <w:rPr>
          <w:rFonts w:hint="eastAsia" w:ascii="楷体" w:hAnsi="楷体" w:eastAsia="楷体" w:cs="楷体"/>
          <w:sz w:val="24"/>
          <w:szCs w:val="24"/>
          <w:lang w:val="en-US" w:eastAsia="zh-CN"/>
        </w:rPr>
        <w:t>210</w:t>
      </w:r>
      <w:r>
        <w:rPr>
          <w:rFonts w:hint="eastAsia" w:ascii="楷体" w:hAnsi="楷体" w:eastAsia="楷体" w:cs="楷体"/>
          <w:sz w:val="24"/>
          <w:szCs w:val="24"/>
          <w:lang w:val="zh-CN"/>
        </w:rPr>
        <w:t>mm×2</w:t>
      </w:r>
      <w:r>
        <w:rPr>
          <w:rFonts w:hint="eastAsia" w:ascii="楷体" w:hAnsi="楷体" w:eastAsia="楷体" w:cs="楷体"/>
          <w:sz w:val="24"/>
          <w:szCs w:val="24"/>
          <w:lang w:val="en-US" w:eastAsia="zh-CN"/>
        </w:rPr>
        <w:t>85</w:t>
      </w:r>
      <w:r>
        <w:rPr>
          <w:rFonts w:hint="eastAsia" w:ascii="楷体" w:hAnsi="楷体" w:eastAsia="楷体" w:cs="楷体"/>
          <w:sz w:val="24"/>
          <w:szCs w:val="24"/>
          <w:lang w:val="zh-CN"/>
        </w:rPr>
        <w:t>mm</w:t>
      </w:r>
      <w:r>
        <w:rPr>
          <w:rFonts w:hint="eastAsia" w:ascii="楷体" w:hAnsi="楷体" w:eastAsia="楷体" w:cs="楷体"/>
          <w:sz w:val="24"/>
          <w:szCs w:val="24"/>
          <w:lang w:val="en-US" w:eastAsia="zh-CN"/>
        </w:rPr>
        <w:t>竖版</w:t>
      </w:r>
      <w:r>
        <w:rPr>
          <w:rFonts w:hint="eastAsia" w:ascii="楷体" w:hAnsi="楷体" w:eastAsia="楷体" w:cs="楷体"/>
          <w:sz w:val="24"/>
          <w:szCs w:val="24"/>
          <w:lang w:val="zh-CN"/>
        </w:rPr>
        <w:t xml:space="preserve">. </w:t>
      </w:r>
    </w:p>
    <w:p w14:paraId="20C72D6F">
      <w:pPr>
        <w:keepNext w:val="0"/>
        <w:keepLines w:val="0"/>
        <w:pageBreakBefore w:val="0"/>
        <w:tabs>
          <w:tab w:val="left" w:pos="8236"/>
        </w:tabs>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大会会刊及其它广告收费标准</w:t>
      </w:r>
    </w:p>
    <w:tbl>
      <w:tblPr>
        <w:tblStyle w:val="5"/>
        <w:tblW w:w="9855" w:type="dxa"/>
        <w:tblInd w:w="-26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1134"/>
        <w:gridCol w:w="1625"/>
        <w:gridCol w:w="1335"/>
        <w:gridCol w:w="1260"/>
        <w:gridCol w:w="1140"/>
        <w:gridCol w:w="1710"/>
      </w:tblGrid>
      <w:tr w14:paraId="0A46F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1651" w:type="dxa"/>
            <w:tcBorders>
              <w:top w:val="single" w:color="auto" w:sz="4" w:space="0"/>
              <w:bottom w:val="single" w:color="auto" w:sz="4" w:space="0"/>
              <w:right w:val="single" w:color="auto" w:sz="4" w:space="0"/>
            </w:tcBorders>
            <w:vAlign w:val="center"/>
          </w:tcPr>
          <w:p w14:paraId="2C7C9DA3">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封面</w:t>
            </w:r>
          </w:p>
        </w:tc>
        <w:tc>
          <w:tcPr>
            <w:tcW w:w="1134" w:type="dxa"/>
            <w:tcBorders>
              <w:top w:val="single" w:color="auto" w:sz="4" w:space="0"/>
              <w:left w:val="single" w:color="auto" w:sz="4" w:space="0"/>
              <w:bottom w:val="single" w:color="auto" w:sz="4" w:space="0"/>
              <w:right w:val="single" w:color="auto" w:sz="4" w:space="0"/>
            </w:tcBorders>
            <w:vAlign w:val="center"/>
          </w:tcPr>
          <w:p w14:paraId="331B1A63">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封底</w:t>
            </w:r>
          </w:p>
        </w:tc>
        <w:tc>
          <w:tcPr>
            <w:tcW w:w="1625" w:type="dxa"/>
            <w:tcBorders>
              <w:top w:val="single" w:color="auto" w:sz="4" w:space="0"/>
              <w:left w:val="single" w:color="auto" w:sz="4" w:space="0"/>
              <w:bottom w:val="single" w:color="auto" w:sz="4" w:space="0"/>
              <w:right w:val="single" w:color="auto" w:sz="4" w:space="0"/>
            </w:tcBorders>
            <w:vAlign w:val="center"/>
          </w:tcPr>
          <w:p w14:paraId="7BC13B5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封二/前菲</w:t>
            </w:r>
          </w:p>
        </w:tc>
        <w:tc>
          <w:tcPr>
            <w:tcW w:w="1335" w:type="dxa"/>
            <w:tcBorders>
              <w:top w:val="single" w:color="auto" w:sz="4" w:space="0"/>
              <w:left w:val="single" w:color="auto" w:sz="4" w:space="0"/>
              <w:bottom w:val="single" w:color="auto" w:sz="4" w:space="0"/>
              <w:right w:val="single" w:color="auto" w:sz="4" w:space="0"/>
            </w:tcBorders>
            <w:vAlign w:val="center"/>
          </w:tcPr>
          <w:p w14:paraId="4DF7C920">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封三/后菲</w:t>
            </w:r>
          </w:p>
        </w:tc>
        <w:tc>
          <w:tcPr>
            <w:tcW w:w="1260" w:type="dxa"/>
            <w:tcBorders>
              <w:top w:val="single" w:color="auto" w:sz="4" w:space="0"/>
              <w:left w:val="single" w:color="auto" w:sz="4" w:space="0"/>
              <w:bottom w:val="single" w:color="auto" w:sz="4" w:space="0"/>
              <w:right w:val="single" w:color="auto" w:sz="4" w:space="0"/>
            </w:tcBorders>
            <w:vAlign w:val="center"/>
          </w:tcPr>
          <w:p w14:paraId="300E9A42">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内彩页</w:t>
            </w:r>
          </w:p>
        </w:tc>
        <w:tc>
          <w:tcPr>
            <w:tcW w:w="1140" w:type="dxa"/>
            <w:tcBorders>
              <w:top w:val="single" w:color="auto" w:sz="4" w:space="0"/>
              <w:left w:val="single" w:color="auto" w:sz="4" w:space="0"/>
              <w:bottom w:val="single" w:color="auto" w:sz="4" w:space="0"/>
              <w:right w:val="single" w:color="auto" w:sz="4" w:space="0"/>
            </w:tcBorders>
            <w:vAlign w:val="center"/>
          </w:tcPr>
          <w:p w14:paraId="0972BE5B">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跨彩页</w:t>
            </w:r>
          </w:p>
        </w:tc>
        <w:tc>
          <w:tcPr>
            <w:tcW w:w="1710" w:type="dxa"/>
            <w:tcBorders>
              <w:top w:val="single" w:color="auto" w:sz="4" w:space="0"/>
              <w:left w:val="single" w:color="auto" w:sz="4" w:space="0"/>
              <w:bottom w:val="single" w:color="auto" w:sz="4" w:space="0"/>
            </w:tcBorders>
            <w:vAlign w:val="center"/>
          </w:tcPr>
          <w:p w14:paraId="78BD36A8">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黑白内页</w:t>
            </w:r>
          </w:p>
        </w:tc>
      </w:tr>
      <w:tr w14:paraId="620A5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1651" w:type="dxa"/>
            <w:tcBorders>
              <w:top w:val="single" w:color="auto" w:sz="4" w:space="0"/>
              <w:bottom w:val="single" w:color="auto" w:sz="4" w:space="0"/>
              <w:right w:val="single" w:color="auto" w:sz="4" w:space="0"/>
            </w:tcBorders>
            <w:vAlign w:val="center"/>
          </w:tcPr>
          <w:p w14:paraId="563A396C">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30000元</w:t>
            </w:r>
          </w:p>
        </w:tc>
        <w:tc>
          <w:tcPr>
            <w:tcW w:w="1134" w:type="dxa"/>
            <w:tcBorders>
              <w:top w:val="single" w:color="auto" w:sz="4" w:space="0"/>
              <w:left w:val="single" w:color="auto" w:sz="4" w:space="0"/>
              <w:bottom w:val="single" w:color="auto" w:sz="4" w:space="0"/>
              <w:right w:val="single" w:color="auto" w:sz="4" w:space="0"/>
            </w:tcBorders>
            <w:vAlign w:val="center"/>
          </w:tcPr>
          <w:p w14:paraId="2B90913F">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20000元</w:t>
            </w:r>
          </w:p>
        </w:tc>
        <w:tc>
          <w:tcPr>
            <w:tcW w:w="1625" w:type="dxa"/>
            <w:tcBorders>
              <w:top w:val="single" w:color="auto" w:sz="4" w:space="0"/>
              <w:left w:val="single" w:color="auto" w:sz="4" w:space="0"/>
              <w:bottom w:val="single" w:color="auto" w:sz="4" w:space="0"/>
              <w:right w:val="single" w:color="auto" w:sz="4" w:space="0"/>
            </w:tcBorders>
            <w:vAlign w:val="center"/>
          </w:tcPr>
          <w:p w14:paraId="4C0DCF25">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12000元</w:t>
            </w:r>
          </w:p>
        </w:tc>
        <w:tc>
          <w:tcPr>
            <w:tcW w:w="1335" w:type="dxa"/>
            <w:tcBorders>
              <w:top w:val="single" w:color="auto" w:sz="4" w:space="0"/>
              <w:left w:val="single" w:color="auto" w:sz="4" w:space="0"/>
              <w:bottom w:val="single" w:color="auto" w:sz="4" w:space="0"/>
              <w:right w:val="single" w:color="auto" w:sz="4" w:space="0"/>
            </w:tcBorders>
            <w:vAlign w:val="center"/>
          </w:tcPr>
          <w:p w14:paraId="70AEF111">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10000元</w:t>
            </w:r>
          </w:p>
        </w:tc>
        <w:tc>
          <w:tcPr>
            <w:tcW w:w="1260" w:type="dxa"/>
            <w:tcBorders>
              <w:top w:val="single" w:color="auto" w:sz="4" w:space="0"/>
              <w:left w:val="single" w:color="auto" w:sz="4" w:space="0"/>
              <w:bottom w:val="single" w:color="auto" w:sz="4" w:space="0"/>
              <w:right w:val="single" w:color="auto" w:sz="4" w:space="0"/>
            </w:tcBorders>
            <w:vAlign w:val="center"/>
          </w:tcPr>
          <w:p w14:paraId="52412987">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8000元</w:t>
            </w:r>
          </w:p>
        </w:tc>
        <w:tc>
          <w:tcPr>
            <w:tcW w:w="1140" w:type="dxa"/>
            <w:tcBorders>
              <w:top w:val="single" w:color="auto" w:sz="4" w:space="0"/>
              <w:left w:val="single" w:color="auto" w:sz="4" w:space="0"/>
              <w:bottom w:val="single" w:color="auto" w:sz="4" w:space="0"/>
              <w:right w:val="single" w:color="auto" w:sz="4" w:space="0"/>
            </w:tcBorders>
            <w:vAlign w:val="center"/>
          </w:tcPr>
          <w:p w14:paraId="76D726CC">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10000元</w:t>
            </w:r>
          </w:p>
        </w:tc>
        <w:tc>
          <w:tcPr>
            <w:tcW w:w="1710" w:type="dxa"/>
            <w:tcBorders>
              <w:top w:val="single" w:color="auto" w:sz="4" w:space="0"/>
              <w:left w:val="single" w:color="auto" w:sz="4" w:space="0"/>
              <w:bottom w:val="single" w:color="auto" w:sz="4" w:space="0"/>
            </w:tcBorders>
            <w:vAlign w:val="center"/>
          </w:tcPr>
          <w:p w14:paraId="485D6E1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3000元</w:t>
            </w:r>
          </w:p>
        </w:tc>
      </w:tr>
      <w:tr w14:paraId="008BC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785" w:type="dxa"/>
            <w:gridSpan w:val="2"/>
            <w:tcBorders>
              <w:top w:val="single" w:color="auto" w:sz="4" w:space="0"/>
              <w:bottom w:val="single" w:color="auto" w:sz="4" w:space="0"/>
              <w:right w:val="single" w:color="auto" w:sz="4" w:space="0"/>
            </w:tcBorders>
            <w:vAlign w:val="center"/>
          </w:tcPr>
          <w:p w14:paraId="0D658285">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参观卷：20000元/3万张</w:t>
            </w:r>
          </w:p>
        </w:tc>
        <w:tc>
          <w:tcPr>
            <w:tcW w:w="2960" w:type="dxa"/>
            <w:gridSpan w:val="2"/>
            <w:tcBorders>
              <w:top w:val="single" w:color="auto" w:sz="4" w:space="0"/>
              <w:left w:val="single" w:color="auto" w:sz="4" w:space="0"/>
              <w:bottom w:val="single" w:color="auto" w:sz="4" w:space="0"/>
              <w:right w:val="single" w:color="auto" w:sz="4" w:space="0"/>
            </w:tcBorders>
            <w:vAlign w:val="center"/>
          </w:tcPr>
          <w:p w14:paraId="27F1544B">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胸卡：50000元/3万个</w:t>
            </w:r>
          </w:p>
        </w:tc>
        <w:tc>
          <w:tcPr>
            <w:tcW w:w="4110" w:type="dxa"/>
            <w:gridSpan w:val="3"/>
            <w:tcBorders>
              <w:top w:val="single" w:color="auto" w:sz="4" w:space="0"/>
              <w:left w:val="single" w:color="auto" w:sz="4" w:space="0"/>
              <w:bottom w:val="single" w:color="auto" w:sz="4" w:space="0"/>
            </w:tcBorders>
            <w:vAlign w:val="center"/>
          </w:tcPr>
          <w:p w14:paraId="7EA3F40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手提袋：50000元/6000个</w:t>
            </w:r>
          </w:p>
        </w:tc>
      </w:tr>
      <w:tr w14:paraId="302FF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2785" w:type="dxa"/>
            <w:gridSpan w:val="2"/>
            <w:tcBorders>
              <w:top w:val="single" w:color="auto" w:sz="4" w:space="0"/>
              <w:bottom w:val="single" w:color="auto" w:sz="4" w:space="0"/>
              <w:right w:val="single" w:color="auto" w:sz="4" w:space="0"/>
            </w:tcBorders>
            <w:vAlign w:val="center"/>
          </w:tcPr>
          <w:p w14:paraId="0DCBAF25">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吊带：60000元/3万个</w:t>
            </w:r>
          </w:p>
        </w:tc>
        <w:tc>
          <w:tcPr>
            <w:tcW w:w="7070" w:type="dxa"/>
            <w:gridSpan w:val="5"/>
            <w:tcBorders>
              <w:top w:val="single" w:color="auto" w:sz="4" w:space="0"/>
              <w:left w:val="single" w:color="auto" w:sz="4" w:space="0"/>
              <w:bottom w:val="single" w:color="auto" w:sz="4" w:space="0"/>
            </w:tcBorders>
            <w:vAlign w:val="center"/>
          </w:tcPr>
          <w:p w14:paraId="478C5A06">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（其它广告备索）</w:t>
            </w:r>
          </w:p>
        </w:tc>
      </w:tr>
    </w:tbl>
    <w:p w14:paraId="40B5267F">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注：因广告位有限，广告费用须全额一次付清，以付款先后顺序进行安排。</w:t>
      </w:r>
    </w:p>
    <w:p w14:paraId="67DD9DF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免费及增值服务</w:t>
      </w:r>
    </w:p>
    <w:p w14:paraId="306AFE6E">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在《会刊》上登录300字的中英文公司简介</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宣传报道展览会及定向组织观众</w:t>
      </w:r>
    </w:p>
    <w:p w14:paraId="66318C15">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标准展台搭建（净地除外）</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定期展场清洁及24小时展场保卫</w:t>
      </w:r>
    </w:p>
    <w:p w14:paraId="4951C7F4">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参展商胸卡</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协助食宿及往返交通票务</w:t>
      </w:r>
    </w:p>
    <w:p w14:paraId="5BFC2AD1">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★有偿服务</w:t>
      </w:r>
    </w:p>
    <w:p w14:paraId="5BC1485F">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广告宣传（会刊、门票、展览快讯及展厅内外广告）</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展品运输及展品入馆安放</w:t>
      </w:r>
    </w:p>
    <w:p w14:paraId="6BC49DDD">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技术交流会、产品发布会的安排和组织</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额外展具、动力电及音像设备租用</w:t>
      </w:r>
    </w:p>
    <w:p w14:paraId="7DD175B2">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宣传资料印刷</w:t>
      </w:r>
      <w:r>
        <w:rPr>
          <w:rFonts w:hint="eastAsia" w:ascii="楷体" w:hAnsi="楷体" w:eastAsia="楷体" w:cs="楷体"/>
          <w:color w:val="E36C0A"/>
          <w:kern w:val="0"/>
          <w:sz w:val="24"/>
          <w:szCs w:val="24"/>
          <w:lang w:val="zh-CN"/>
        </w:rPr>
        <w:t>■</w:t>
      </w:r>
      <w:r>
        <w:rPr>
          <w:rFonts w:hint="eastAsia" w:ascii="楷体" w:hAnsi="楷体" w:eastAsia="楷体" w:cs="楷体"/>
          <w:kern w:val="0"/>
          <w:sz w:val="24"/>
          <w:szCs w:val="24"/>
          <w:lang w:val="zh-CN"/>
        </w:rPr>
        <w:t>其他额外设备的租赁及额外服务的提供</w:t>
      </w:r>
    </w:p>
    <w:p w14:paraId="4F6D7AD8">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b/>
          <w:color w:val="E36C0A"/>
          <w:kern w:val="0"/>
          <w:sz w:val="24"/>
          <w:szCs w:val="24"/>
          <w:lang w:val="zh-CN"/>
        </w:rPr>
      </w:pPr>
      <w:r>
        <w:rPr>
          <w:rFonts w:hint="eastAsia" w:ascii="楷体" w:hAnsi="楷体" w:eastAsia="楷体" w:cs="楷体"/>
          <w:b/>
          <w:color w:val="E36C0A"/>
          <w:kern w:val="0"/>
          <w:sz w:val="24"/>
          <w:szCs w:val="24"/>
          <w:lang w:val="zh-CN"/>
        </w:rPr>
        <w:t>★参展程序</w:t>
      </w:r>
    </w:p>
    <w:p w14:paraId="47120EC1">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1、参展单位请详细填写《参展申请表》，并加盖公章后传真或交寄至大会组委会。</w:t>
      </w:r>
    </w:p>
    <w:p w14:paraId="2D2E1DB4">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2、企业报名后</w:t>
      </w:r>
      <w:r>
        <w:rPr>
          <w:rFonts w:hint="eastAsia" w:ascii="楷体" w:hAnsi="楷体" w:eastAsia="楷体" w:cs="楷体"/>
          <w:kern w:val="0"/>
          <w:sz w:val="24"/>
          <w:szCs w:val="24"/>
          <w:lang w:val="en-US" w:eastAsia="zh-CN"/>
        </w:rPr>
        <w:t>三</w:t>
      </w:r>
      <w:r>
        <w:rPr>
          <w:rFonts w:hint="eastAsia" w:ascii="楷体" w:hAnsi="楷体" w:eastAsia="楷体" w:cs="楷体"/>
          <w:kern w:val="0"/>
          <w:sz w:val="24"/>
          <w:szCs w:val="24"/>
          <w:lang w:val="zh-CN"/>
        </w:rPr>
        <w:t>个工作日内将参展费用汇入大会组委会指定帐号，从而确定展位；</w:t>
      </w:r>
    </w:p>
    <w:p w14:paraId="15FDA4F8">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3、展位、广告等由组委会统一安排，“先申请、先付款、先分配”。协办单位可优先安排。</w:t>
      </w:r>
    </w:p>
    <w:p w14:paraId="4D2083F3">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kern w:val="0"/>
          <w:sz w:val="24"/>
          <w:szCs w:val="24"/>
          <w:lang w:val="zh-CN"/>
        </w:rPr>
      </w:pPr>
      <w:r>
        <w:rPr>
          <w:rFonts w:hint="eastAsia" w:ascii="楷体" w:hAnsi="楷体" w:eastAsia="楷体" w:cs="楷体"/>
          <w:kern w:val="0"/>
          <w:sz w:val="24"/>
          <w:szCs w:val="24"/>
          <w:lang w:val="zh-CN"/>
        </w:rPr>
        <w:t>4、为服从展会总体布局，组织单位有权在必要时对个别展台位置进行调整。因不可抗拒的因素如自然灾害，政府行为，社会异常事件等，组织单位可以延迟或取消展会。</w:t>
      </w:r>
    </w:p>
    <w:p w14:paraId="0094452A">
      <w:pPr>
        <w:keepNext w:val="0"/>
        <w:keepLines w:val="0"/>
        <w:pageBreakBefore w:val="0"/>
        <w:tabs>
          <w:tab w:val="left" w:pos="8236"/>
        </w:tabs>
        <w:kinsoku/>
        <w:wordWrap/>
        <w:overflowPunct/>
        <w:topLinePunct w:val="0"/>
        <w:autoSpaceDE w:val="0"/>
        <w:autoSpaceDN w:val="0"/>
        <w:bidi w:val="0"/>
        <w:adjustRightInd w:val="0"/>
        <w:snapToGrid/>
        <w:spacing w:line="360" w:lineRule="exact"/>
        <w:jc w:val="left"/>
        <w:textAlignment w:val="auto"/>
        <w:rPr>
          <w:rFonts w:hint="eastAsia" w:ascii="楷体" w:hAnsi="楷体" w:eastAsia="楷体" w:cs="楷体"/>
          <w:sz w:val="24"/>
          <w:szCs w:val="24"/>
        </w:rPr>
      </w:pPr>
      <w:r>
        <w:rPr>
          <w:rFonts w:hint="eastAsia" w:ascii="楷体" w:hAnsi="楷体" w:eastAsia="楷体" w:cs="楷体"/>
          <w:kern w:val="0"/>
          <w:sz w:val="24"/>
          <w:szCs w:val="24"/>
          <w:lang w:val="zh-CN"/>
        </w:rPr>
        <w:t>8、报名截止日期：202</w:t>
      </w:r>
      <w:r>
        <w:rPr>
          <w:rFonts w:hint="eastAsia" w:ascii="楷体" w:hAnsi="楷体" w:eastAsia="楷体" w:cs="楷体"/>
          <w:kern w:val="0"/>
          <w:sz w:val="24"/>
          <w:szCs w:val="24"/>
          <w:lang w:val="en-US" w:eastAsia="zh-CN"/>
        </w:rPr>
        <w:t>6</w:t>
      </w:r>
      <w:r>
        <w:rPr>
          <w:rFonts w:hint="eastAsia" w:ascii="楷体" w:hAnsi="楷体" w:eastAsia="楷体" w:cs="楷体"/>
          <w:kern w:val="0"/>
          <w:sz w:val="24"/>
          <w:szCs w:val="24"/>
          <w:lang w:val="zh-CN"/>
        </w:rPr>
        <w:t>年</w:t>
      </w:r>
      <w:r>
        <w:rPr>
          <w:rFonts w:hint="eastAsia" w:ascii="楷体" w:hAnsi="楷体" w:eastAsia="楷体" w:cs="楷体"/>
          <w:kern w:val="0"/>
          <w:sz w:val="24"/>
          <w:szCs w:val="24"/>
          <w:lang w:val="en-US" w:eastAsia="zh-CN"/>
        </w:rPr>
        <w:t>4</w:t>
      </w:r>
      <w:bookmarkStart w:id="1" w:name="_GoBack"/>
      <w:bookmarkEnd w:id="1"/>
      <w:r>
        <w:rPr>
          <w:rFonts w:hint="eastAsia" w:ascii="楷体" w:hAnsi="楷体" w:eastAsia="楷体" w:cs="楷体"/>
          <w:kern w:val="0"/>
          <w:sz w:val="24"/>
          <w:szCs w:val="24"/>
          <w:lang w:val="zh-CN"/>
        </w:rPr>
        <w:t>月</w:t>
      </w:r>
      <w:r>
        <w:rPr>
          <w:rFonts w:hint="eastAsia" w:ascii="楷体" w:hAnsi="楷体" w:eastAsia="楷体" w:cs="楷体"/>
          <w:kern w:val="0"/>
          <w:sz w:val="24"/>
          <w:szCs w:val="24"/>
          <w:lang w:val="en-US" w:eastAsia="zh-CN"/>
        </w:rPr>
        <w:t>20</w:t>
      </w:r>
      <w:r>
        <w:rPr>
          <w:rFonts w:hint="eastAsia" w:ascii="楷体" w:hAnsi="楷体" w:eastAsia="楷体" w:cs="楷体"/>
          <w:kern w:val="0"/>
          <w:sz w:val="24"/>
          <w:szCs w:val="24"/>
          <w:lang w:val="zh-CN"/>
        </w:rPr>
        <w:t>日</w:t>
      </w:r>
    </w:p>
    <w:p w14:paraId="3BB75165">
      <w:pPr>
        <w:keepNext w:val="0"/>
        <w:keepLines w:val="0"/>
        <w:pageBreakBefore w:val="0"/>
        <w:widowControl/>
        <w:kinsoku/>
        <w:wordWrap/>
        <w:overflowPunct/>
        <w:topLinePunct w:val="0"/>
        <w:bidi w:val="0"/>
        <w:snapToGrid/>
        <w:spacing w:line="360" w:lineRule="exact"/>
        <w:textAlignment w:val="auto"/>
        <w:rPr>
          <w:rFonts w:hint="eastAsia" w:ascii="楷体" w:hAnsi="楷体" w:eastAsia="楷体" w:cs="楷体"/>
          <w:sz w:val="24"/>
          <w:szCs w:val="24"/>
        </w:rPr>
      </w:pPr>
      <w:r>
        <w:rPr>
          <w:rFonts w:hint="eastAsia" w:ascii="楷体" w:hAnsi="楷体" w:eastAsia="楷体" w:cs="楷体"/>
          <w:kern w:val="0"/>
          <w:sz w:val="24"/>
          <w:szCs w:val="24"/>
          <w:lang w:val="zh-CN"/>
        </w:rPr>
        <w:drawing>
          <wp:anchor distT="0" distB="0" distL="114300" distR="114300" simplePos="0" relativeHeight="251659264" behindDoc="0" locked="0" layoutInCell="1" allowOverlap="1">
            <wp:simplePos x="0" y="0"/>
            <wp:positionH relativeFrom="column">
              <wp:posOffset>-198755</wp:posOffset>
            </wp:positionH>
            <wp:positionV relativeFrom="paragraph">
              <wp:posOffset>71755</wp:posOffset>
            </wp:positionV>
            <wp:extent cx="644525" cy="644525"/>
            <wp:effectExtent l="0" t="0" r="3175" b="3175"/>
            <wp:wrapSquare wrapText="bothSides"/>
            <wp:docPr id="2" name="图片 8" descr="机器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机器人logo"/>
                    <pic:cNvPicPr>
                      <a:picLocks noChangeAspect="1"/>
                    </pic:cNvPicPr>
                  </pic:nvPicPr>
                  <pic:blipFill>
                    <a:blip r:embed="rId5"/>
                    <a:stretch>
                      <a:fillRect/>
                    </a:stretch>
                  </pic:blipFill>
                  <pic:spPr>
                    <a:xfrm>
                      <a:off x="0" y="0"/>
                      <a:ext cx="644525" cy="644525"/>
                    </a:xfrm>
                    <a:prstGeom prst="rect">
                      <a:avLst/>
                    </a:prstGeom>
                    <a:noFill/>
                    <a:ln>
                      <a:noFill/>
                    </a:ln>
                  </pic:spPr>
                </pic:pic>
              </a:graphicData>
            </a:graphic>
          </wp:anchor>
        </w:drawing>
      </w:r>
      <w:r>
        <w:rPr>
          <w:rFonts w:hint="eastAsia" w:ascii="楷体" w:hAnsi="楷体" w:eastAsia="楷体" w:cs="楷体"/>
          <w:sz w:val="24"/>
          <w:szCs w:val="24"/>
        </w:rPr>
        <w:t>202</w:t>
      </w:r>
      <w:r>
        <w:rPr>
          <w:rFonts w:hint="eastAsia" w:ascii="楷体" w:hAnsi="楷体" w:eastAsia="楷体" w:cs="楷体"/>
          <w:sz w:val="24"/>
          <w:szCs w:val="24"/>
          <w:lang w:val="en-US" w:eastAsia="zh-CN"/>
        </w:rPr>
        <w:t>6</w:t>
      </w:r>
      <w:r>
        <w:rPr>
          <w:rFonts w:hint="eastAsia" w:ascii="楷体" w:hAnsi="楷体" w:eastAsia="楷体" w:cs="楷体"/>
          <w:sz w:val="24"/>
          <w:szCs w:val="24"/>
        </w:rPr>
        <w:t>第十</w:t>
      </w:r>
      <w:r>
        <w:rPr>
          <w:rFonts w:hint="eastAsia" w:ascii="楷体" w:hAnsi="楷体" w:eastAsia="楷体" w:cs="楷体"/>
          <w:sz w:val="24"/>
          <w:szCs w:val="24"/>
          <w:lang w:val="en-US" w:eastAsia="zh-CN"/>
        </w:rPr>
        <w:t>五</w:t>
      </w:r>
      <w:r>
        <w:rPr>
          <w:rFonts w:hint="eastAsia" w:ascii="楷体" w:hAnsi="楷体" w:eastAsia="楷体" w:cs="楷体"/>
          <w:sz w:val="24"/>
          <w:szCs w:val="24"/>
        </w:rPr>
        <w:t>届北京</w:t>
      </w:r>
      <w:r>
        <w:rPr>
          <w:rFonts w:hint="eastAsia" w:ascii="楷体" w:hAnsi="楷体" w:eastAsia="楷体" w:cs="楷体"/>
          <w:sz w:val="24"/>
          <w:szCs w:val="24"/>
          <w:lang w:val="en-US" w:eastAsia="zh-CN"/>
        </w:rPr>
        <w:t>国际机器人展览会</w:t>
      </w:r>
      <w:r>
        <w:rPr>
          <w:rFonts w:hint="eastAsia" w:ascii="楷体" w:hAnsi="楷体" w:eastAsia="楷体" w:cs="楷体"/>
          <w:sz w:val="24"/>
          <w:szCs w:val="24"/>
        </w:rPr>
        <w:t>（CRS Eexpo）</w:t>
      </w:r>
    </w:p>
    <w:p w14:paraId="773BB243">
      <w:pPr>
        <w:keepNext w:val="0"/>
        <w:keepLines w:val="0"/>
        <w:pageBreakBefore w:val="0"/>
        <w:tabs>
          <w:tab w:val="left" w:pos="8236"/>
        </w:tabs>
        <w:kinsoku/>
        <w:wordWrap/>
        <w:overflowPunct/>
        <w:topLinePunct w:val="0"/>
        <w:autoSpaceDE w:val="0"/>
        <w:autoSpaceDN w:val="0"/>
        <w:bidi w:val="0"/>
        <w:adjustRightInd w:val="0"/>
        <w:snapToGrid/>
        <w:spacing w:line="360" w:lineRule="exact"/>
        <w:textAlignment w:val="auto"/>
        <w:rPr>
          <w:rFonts w:hint="eastAsia" w:ascii="楷体" w:hAnsi="楷体" w:eastAsia="楷体" w:cs="楷体"/>
          <w:kern w:val="0"/>
          <w:sz w:val="24"/>
          <w:szCs w:val="24"/>
          <w:lang w:val="en-US" w:eastAsia="zh-CN"/>
        </w:rPr>
      </w:pPr>
      <w:r>
        <w:rPr>
          <w:rFonts w:hint="eastAsia" w:ascii="楷体" w:hAnsi="楷体" w:eastAsia="楷体" w:cs="楷体"/>
          <w:kern w:val="0"/>
          <w:sz w:val="24"/>
          <w:szCs w:val="24"/>
        </w:rPr>
        <w:t>The 1</w:t>
      </w:r>
      <w:r>
        <w:rPr>
          <w:rFonts w:hint="eastAsia" w:ascii="楷体" w:hAnsi="楷体" w:eastAsia="楷体" w:cs="楷体"/>
          <w:kern w:val="0"/>
          <w:sz w:val="24"/>
          <w:szCs w:val="24"/>
          <w:lang w:val="en-US" w:eastAsia="zh-CN"/>
        </w:rPr>
        <w:t>5</w:t>
      </w:r>
      <w:r>
        <w:rPr>
          <w:rFonts w:hint="eastAsia" w:ascii="楷体" w:hAnsi="楷体" w:eastAsia="楷体" w:cs="楷体"/>
          <w:kern w:val="0"/>
          <w:sz w:val="24"/>
          <w:szCs w:val="24"/>
        </w:rPr>
        <w:t>th Beijing International Robot Exhibition in 202</w:t>
      </w:r>
      <w:r>
        <w:rPr>
          <w:rFonts w:hint="eastAsia" w:ascii="楷体" w:hAnsi="楷体" w:eastAsia="楷体" w:cs="楷体"/>
          <w:kern w:val="0"/>
          <w:sz w:val="24"/>
          <w:szCs w:val="24"/>
          <w:lang w:val="en-US" w:eastAsia="zh-CN"/>
        </w:rPr>
        <w:t>6</w:t>
      </w:r>
    </w:p>
    <w:p w14:paraId="3BD56B20">
      <w:pPr>
        <w:keepNext w:val="0"/>
        <w:keepLines w:val="0"/>
        <w:pageBreakBefore w:val="0"/>
        <w:kinsoku/>
        <w:wordWrap/>
        <w:overflowPunct/>
        <w:topLinePunct w:val="0"/>
        <w:bidi w:val="0"/>
        <w:snapToGrid/>
        <w:spacing w:line="360" w:lineRule="exact"/>
        <w:textAlignment w:val="auto"/>
        <w:rPr>
          <w:rFonts w:hint="eastAsia" w:ascii="楷体" w:hAnsi="楷体" w:eastAsia="楷体" w:cs="楷体"/>
          <w:sz w:val="24"/>
          <w:szCs w:val="24"/>
        </w:rPr>
      </w:pPr>
      <w:r>
        <w:rPr>
          <w:rFonts w:hint="eastAsia" w:ascii="楷体" w:hAnsi="楷体" w:eastAsia="楷体" w:cs="楷体"/>
          <w:sz w:val="24"/>
          <w:szCs w:val="24"/>
        </w:rPr>
        <w:t xml:space="preserve">电话：010－88808892   </w:t>
      </w:r>
    </w:p>
    <w:p w14:paraId="2B2C5A91">
      <w:pPr>
        <w:keepNext w:val="0"/>
        <w:keepLines w:val="0"/>
        <w:pageBreakBefore w:val="0"/>
        <w:kinsoku/>
        <w:wordWrap/>
        <w:overflowPunct/>
        <w:topLinePunct w:val="0"/>
        <w:bidi w:val="0"/>
        <w:snapToGrid/>
        <w:spacing w:line="360" w:lineRule="exact"/>
        <w:textAlignment w:val="auto"/>
        <w:rPr>
          <w:rFonts w:hint="eastAsia" w:ascii="楷体" w:hAnsi="楷体" w:eastAsia="楷体" w:cs="楷体"/>
          <w:sz w:val="24"/>
          <w:szCs w:val="24"/>
        </w:rPr>
      </w:pPr>
      <w:r>
        <w:rPr>
          <w:rFonts w:hint="eastAsia" w:ascii="楷体" w:hAnsi="楷体" w:eastAsia="楷体" w:cs="楷体"/>
          <w:sz w:val="24"/>
          <w:szCs w:val="24"/>
        </w:rPr>
        <w:t xml:space="preserve">传真：010－68683796 </w:t>
      </w:r>
    </w:p>
    <w:p w14:paraId="264494A2">
      <w:pPr>
        <w:keepNext w:val="0"/>
        <w:keepLines w:val="0"/>
        <w:pageBreakBefore w:val="0"/>
        <w:kinsoku/>
        <w:wordWrap/>
        <w:overflowPunct/>
        <w:topLinePunct w:val="0"/>
        <w:bidi w:val="0"/>
        <w:snapToGrid/>
        <w:spacing w:line="360" w:lineRule="exact"/>
        <w:textAlignment w:val="auto"/>
        <w:rPr>
          <w:rFonts w:hint="eastAsia" w:ascii="楷体" w:hAnsi="楷体" w:eastAsia="楷体" w:cs="楷体"/>
          <w:sz w:val="24"/>
          <w:szCs w:val="24"/>
        </w:rPr>
      </w:pPr>
      <w:r>
        <w:rPr>
          <w:rFonts w:hint="eastAsia" w:ascii="楷体" w:hAnsi="楷体" w:eastAsia="楷体" w:cs="楷体"/>
          <w:sz w:val="24"/>
          <w:szCs w:val="24"/>
        </w:rPr>
        <w:t xml:space="preserve">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 xml:space="preserve">  邮箱: Marketing@jingheexpo.com</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 xml:space="preserve"> </w:t>
      </w:r>
    </w:p>
    <w:p w14:paraId="31F34C95">
      <w:pPr>
        <w:keepNext w:val="0"/>
        <w:keepLines w:val="0"/>
        <w:pageBreakBefore w:val="0"/>
        <w:kinsoku/>
        <w:wordWrap/>
        <w:overflowPunct/>
        <w:topLinePunct w:val="0"/>
        <w:bidi w:val="0"/>
        <w:snapToGrid/>
        <w:spacing w:line="360" w:lineRule="exact"/>
        <w:ind w:firstLine="960" w:firstLineChars="400"/>
        <w:textAlignment w:val="auto"/>
        <w:rPr>
          <w:rFonts w:hint="eastAsia" w:ascii="楷体" w:hAnsi="楷体" w:eastAsia="楷体" w:cs="楷体"/>
          <w:sz w:val="24"/>
          <w:szCs w:val="24"/>
        </w:rPr>
      </w:pPr>
      <w:r>
        <w:rPr>
          <w:rFonts w:hint="eastAsia" w:ascii="楷体" w:hAnsi="楷体" w:eastAsia="楷体" w:cs="楷体"/>
          <w:sz w:val="24"/>
          <w:szCs w:val="24"/>
        </w:rPr>
        <w:t>官网：</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"http://www.asiarobot.net" </w:instrText>
      </w:r>
      <w:r>
        <w:rPr>
          <w:rFonts w:hint="eastAsia" w:ascii="楷体" w:hAnsi="楷体" w:eastAsia="楷体" w:cs="楷体"/>
          <w:sz w:val="24"/>
          <w:szCs w:val="24"/>
        </w:rPr>
        <w:fldChar w:fldCharType="separate"/>
      </w:r>
      <w:r>
        <w:rPr>
          <w:rStyle w:val="8"/>
          <w:rFonts w:hint="eastAsia" w:ascii="楷体" w:hAnsi="楷体" w:eastAsia="楷体" w:cs="楷体"/>
          <w:kern w:val="0"/>
          <w:sz w:val="24"/>
          <w:szCs w:val="24"/>
        </w:rPr>
        <w:t>www.asiarobot.net</w:t>
      </w:r>
      <w:r>
        <w:rPr>
          <w:rStyle w:val="8"/>
          <w:rFonts w:hint="eastAsia" w:ascii="楷体" w:hAnsi="楷体" w:eastAsia="楷体" w:cs="楷体"/>
          <w:kern w:val="0"/>
          <w:sz w:val="24"/>
          <w:szCs w:val="24"/>
        </w:rPr>
        <w:fldChar w:fldCharType="end"/>
      </w:r>
    </w:p>
    <w:sectPr>
      <w:headerReference r:id="rId3" w:type="default"/>
      <w:pgSz w:w="11906" w:h="16838"/>
      <w:pgMar w:top="1417" w:right="1406" w:bottom="1417" w:left="140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AFD3">
    <w:pPr>
      <w:pStyle w:val="4"/>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F739B"/>
    <w:multiLevelType w:val="singleLevel"/>
    <w:tmpl w:val="F5FF739B"/>
    <w:lvl w:ilvl="0" w:tentative="0">
      <w:start w:val="1"/>
      <w:numFmt w:val="decimal"/>
      <w:suff w:val="nothing"/>
      <w:lvlText w:val="%1、"/>
      <w:lvlJc w:val="left"/>
    </w:lvl>
  </w:abstractNum>
  <w:abstractNum w:abstractNumId="1">
    <w:nsid w:val="59827534"/>
    <w:multiLevelType w:val="singleLevel"/>
    <w:tmpl w:val="59827534"/>
    <w:lvl w:ilvl="0" w:tentative="0">
      <w:start w:val="7"/>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ZThmYTNkMmZjMzNlNjFhNGZkZWNiMzAyODM2NzkifQ=="/>
  </w:docVars>
  <w:rsids>
    <w:rsidRoot w:val="00E13CAF"/>
    <w:rsid w:val="0000262A"/>
    <w:rsid w:val="00011EAF"/>
    <w:rsid w:val="00054A06"/>
    <w:rsid w:val="000726B4"/>
    <w:rsid w:val="000B3EE6"/>
    <w:rsid w:val="000B67FF"/>
    <w:rsid w:val="000C3915"/>
    <w:rsid w:val="000D061C"/>
    <w:rsid w:val="00123241"/>
    <w:rsid w:val="001326FF"/>
    <w:rsid w:val="0014779C"/>
    <w:rsid w:val="00152ED5"/>
    <w:rsid w:val="00225549"/>
    <w:rsid w:val="00251C21"/>
    <w:rsid w:val="00282C63"/>
    <w:rsid w:val="002B5E52"/>
    <w:rsid w:val="002C0CE5"/>
    <w:rsid w:val="002D42EC"/>
    <w:rsid w:val="002F6541"/>
    <w:rsid w:val="00307FAF"/>
    <w:rsid w:val="00311595"/>
    <w:rsid w:val="003217FB"/>
    <w:rsid w:val="00325667"/>
    <w:rsid w:val="003608D8"/>
    <w:rsid w:val="003947F5"/>
    <w:rsid w:val="003B5929"/>
    <w:rsid w:val="003E08DF"/>
    <w:rsid w:val="0041247D"/>
    <w:rsid w:val="00416E31"/>
    <w:rsid w:val="00430C3C"/>
    <w:rsid w:val="004A160E"/>
    <w:rsid w:val="00515485"/>
    <w:rsid w:val="00590853"/>
    <w:rsid w:val="005A6AE9"/>
    <w:rsid w:val="005D38E9"/>
    <w:rsid w:val="00614926"/>
    <w:rsid w:val="006173BE"/>
    <w:rsid w:val="00643267"/>
    <w:rsid w:val="00651E9D"/>
    <w:rsid w:val="00655F45"/>
    <w:rsid w:val="006702DC"/>
    <w:rsid w:val="006729EB"/>
    <w:rsid w:val="006C4EA2"/>
    <w:rsid w:val="0070741F"/>
    <w:rsid w:val="0071181E"/>
    <w:rsid w:val="007164D4"/>
    <w:rsid w:val="007601C2"/>
    <w:rsid w:val="007868CF"/>
    <w:rsid w:val="007B5FEF"/>
    <w:rsid w:val="008103C9"/>
    <w:rsid w:val="00815041"/>
    <w:rsid w:val="00816DD3"/>
    <w:rsid w:val="008D7A86"/>
    <w:rsid w:val="00934968"/>
    <w:rsid w:val="009A63B0"/>
    <w:rsid w:val="00A26231"/>
    <w:rsid w:val="00A6457C"/>
    <w:rsid w:val="00A94018"/>
    <w:rsid w:val="00B01A6B"/>
    <w:rsid w:val="00B679C7"/>
    <w:rsid w:val="00B679EC"/>
    <w:rsid w:val="00BB3452"/>
    <w:rsid w:val="00BC36BD"/>
    <w:rsid w:val="00C80FB0"/>
    <w:rsid w:val="00CB2199"/>
    <w:rsid w:val="00CC1AA7"/>
    <w:rsid w:val="00CC351A"/>
    <w:rsid w:val="00CF5C22"/>
    <w:rsid w:val="00D14334"/>
    <w:rsid w:val="00DA3EE6"/>
    <w:rsid w:val="00DC70FD"/>
    <w:rsid w:val="00E13CAF"/>
    <w:rsid w:val="00E27E3C"/>
    <w:rsid w:val="00E532CD"/>
    <w:rsid w:val="00E94BF7"/>
    <w:rsid w:val="00EE21F1"/>
    <w:rsid w:val="00F062E1"/>
    <w:rsid w:val="00F41682"/>
    <w:rsid w:val="00FA66C9"/>
    <w:rsid w:val="00FA7B23"/>
    <w:rsid w:val="06DF58B0"/>
    <w:rsid w:val="131C2F1C"/>
    <w:rsid w:val="172D3DE2"/>
    <w:rsid w:val="19563C5A"/>
    <w:rsid w:val="1A596CBF"/>
    <w:rsid w:val="1B8C2631"/>
    <w:rsid w:val="21745845"/>
    <w:rsid w:val="242B3528"/>
    <w:rsid w:val="25DC0BB9"/>
    <w:rsid w:val="265D2C21"/>
    <w:rsid w:val="272F17D8"/>
    <w:rsid w:val="28C07DE6"/>
    <w:rsid w:val="2CB41A84"/>
    <w:rsid w:val="2FBD222B"/>
    <w:rsid w:val="39BA5957"/>
    <w:rsid w:val="3EF15A4F"/>
    <w:rsid w:val="4B25565D"/>
    <w:rsid w:val="50171CFC"/>
    <w:rsid w:val="56604088"/>
    <w:rsid w:val="5DEF2E84"/>
    <w:rsid w:val="5E317C61"/>
    <w:rsid w:val="5EFB4B57"/>
    <w:rsid w:val="602F1492"/>
    <w:rsid w:val="64581A56"/>
    <w:rsid w:val="746427DF"/>
    <w:rsid w:val="75E514C8"/>
    <w:rsid w:val="7CC22E7A"/>
    <w:rsid w:val="7D7504A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0"/>
    <w:rPr>
      <w:sz w:val="28"/>
    </w:rPr>
  </w:style>
  <w:style w:type="paragraph" w:styleId="3">
    <w:name w:val="footer"/>
    <w:basedOn w:val="1"/>
    <w:link w:val="9"/>
    <w:qFormat/>
    <w:uiPriority w:val="99"/>
    <w:pPr>
      <w:tabs>
        <w:tab w:val="center" w:pos="4153"/>
        <w:tab w:val="right" w:pos="8306"/>
      </w:tabs>
      <w:snapToGrid w:val="0"/>
      <w:jc w:val="left"/>
    </w:pPr>
    <w:rPr>
      <w:sz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rPr>
  </w:style>
  <w:style w:type="character" w:styleId="7">
    <w:name w:val="page number"/>
    <w:qFormat/>
    <w:uiPriority w:val="99"/>
    <w:rPr>
      <w:rFonts w:cs="Times New Roman"/>
    </w:rPr>
  </w:style>
  <w:style w:type="character" w:styleId="8">
    <w:name w:val="Hyperlink"/>
    <w:qFormat/>
    <w:uiPriority w:val="99"/>
    <w:rPr>
      <w:rFonts w:cs="Times New Roman"/>
      <w:color w:val="0000FF"/>
      <w:u w:val="single"/>
    </w:rPr>
  </w:style>
  <w:style w:type="character" w:customStyle="1" w:styleId="9">
    <w:name w:val="页脚 Char"/>
    <w:link w:val="3"/>
    <w:semiHidden/>
    <w:qFormat/>
    <w:locked/>
    <w:uiPriority w:val="99"/>
    <w:rPr>
      <w:rFonts w:cs="Times New Roman"/>
      <w:sz w:val="18"/>
      <w:szCs w:val="18"/>
    </w:rPr>
  </w:style>
  <w:style w:type="character" w:customStyle="1" w:styleId="10">
    <w:name w:val="页眉 Char"/>
    <w:link w:val="4"/>
    <w:semiHidden/>
    <w:qFormat/>
    <w:locked/>
    <w:uiPriority w:val="99"/>
    <w:rPr>
      <w:rFonts w:cs="Times New Roman"/>
      <w:sz w:val="18"/>
      <w:szCs w:val="18"/>
    </w:rPr>
  </w:style>
  <w:style w:type="character" w:customStyle="1" w:styleId="11">
    <w:name w:val="正文文本 Char"/>
    <w:link w:val="2"/>
    <w:qFormat/>
    <w:uiPriority w:val="0"/>
    <w:rPr>
      <w:kern w:val="2"/>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D4671-1655-40A0-8F43-D84C25B79DE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3355</Words>
  <Characters>3881</Characters>
  <Lines>31</Lines>
  <Paragraphs>8</Paragraphs>
  <TotalTime>11</TotalTime>
  <ScaleCrop>false</ScaleCrop>
  <LinksUpToDate>false</LinksUpToDate>
  <CharactersWithSpaces>4047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2025-07-21T10:48:10Z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375C21B887E64AE4A9ED02AB9E74FD03_13</vt:lpwstr>
  </property>
  <property fmtid="{D5CDD505-2E9C-101B-9397-08002B2CF9AE}" pid="4" name="KSOTemplateDocerSaveRecord">
    <vt:lpwstr>eyJoZGlkIjoiOTU4ZThlNWI5YTM2MzhjNDM5Nzg3YWZjYTMxOTUzMmEifQ==</vt:lpwstr>
  </property>
</Properties>
</file>